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2340"/>
        </w:tabs>
        <w:spacing w:line="480" w:lineRule="auto"/>
        <w:jc w:val="center"/>
        <w:rPr>
          <w:rFonts w:ascii="黑体" w:hAnsi="黑体" w:eastAsia="黑体"/>
          <w:b/>
          <w:bCs/>
          <w:sz w:val="32"/>
        </w:rPr>
      </w:pPr>
      <w:r>
        <w:rPr>
          <w:rFonts w:hint="eastAsia" w:ascii="黑体" w:hAnsi="黑体" w:eastAsia="黑体"/>
          <w:b/>
          <w:bCs/>
          <w:sz w:val="32"/>
        </w:rPr>
        <w:t>配件技术要求</w:t>
      </w:r>
    </w:p>
    <w:p>
      <w:pPr>
        <w:tabs>
          <w:tab w:val="left" w:pos="2340"/>
        </w:tabs>
        <w:spacing w:line="480" w:lineRule="auto"/>
        <w:jc w:val="center"/>
        <w:rPr>
          <w:rFonts w:ascii="黑体" w:hAnsi="黑体" w:eastAsia="黑体"/>
          <w:b/>
          <w:bCs/>
          <w:sz w:val="32"/>
        </w:rPr>
      </w:pPr>
    </w:p>
    <w:p>
      <w:pPr>
        <w:tabs>
          <w:tab w:val="left" w:pos="2340"/>
        </w:tabs>
        <w:spacing w:line="480" w:lineRule="auto"/>
        <w:ind w:firstLine="840" w:firstLineChars="350"/>
        <w:jc w:val="left"/>
        <w:rPr>
          <w:rFonts w:ascii="宋体"/>
          <w:sz w:val="24"/>
        </w:rPr>
      </w:pPr>
      <w:bookmarkStart w:id="0" w:name="_Toc356204538"/>
      <w:bookmarkStart w:id="1" w:name="_Toc357082526"/>
      <w:r>
        <w:rPr>
          <w:rFonts w:hint="eastAsia" w:ascii="宋体"/>
          <w:sz w:val="24"/>
        </w:rPr>
        <w:t>第一节 供货范围、技术规格、参数与要求</w:t>
      </w:r>
    </w:p>
    <w:p>
      <w:pPr>
        <w:tabs>
          <w:tab w:val="left" w:pos="2340"/>
        </w:tabs>
        <w:spacing w:line="480" w:lineRule="auto"/>
        <w:ind w:firstLine="840" w:firstLineChars="350"/>
        <w:jc w:val="left"/>
        <w:rPr>
          <w:rFonts w:ascii="宋体"/>
          <w:sz w:val="24"/>
        </w:rPr>
      </w:pPr>
      <w:r>
        <w:rPr>
          <w:rFonts w:hint="eastAsia" w:ascii="宋体"/>
          <w:sz w:val="24"/>
        </w:rPr>
        <w:t>第二节 出厂前检验与交货验收</w:t>
      </w:r>
    </w:p>
    <w:p>
      <w:pPr>
        <w:tabs>
          <w:tab w:val="left" w:pos="2340"/>
        </w:tabs>
        <w:spacing w:line="480" w:lineRule="auto"/>
        <w:ind w:firstLine="840" w:firstLineChars="350"/>
        <w:jc w:val="left"/>
        <w:rPr>
          <w:rFonts w:ascii="宋体"/>
          <w:sz w:val="24"/>
        </w:rPr>
      </w:pPr>
      <w:r>
        <w:rPr>
          <w:rFonts w:hint="eastAsia" w:ascii="宋体"/>
          <w:sz w:val="24"/>
        </w:rPr>
        <w:t>第三节 质量保证</w:t>
      </w:r>
    </w:p>
    <w:p>
      <w:pPr>
        <w:tabs>
          <w:tab w:val="left" w:pos="2340"/>
        </w:tabs>
        <w:spacing w:line="480" w:lineRule="auto"/>
        <w:ind w:firstLine="840" w:firstLineChars="350"/>
        <w:jc w:val="left"/>
      </w:pPr>
      <w:r>
        <w:rPr>
          <w:rFonts w:hint="eastAsia" w:ascii="宋体"/>
          <w:sz w:val="24"/>
        </w:rPr>
        <w:t>第四节 标准</w:t>
      </w:r>
      <w:r>
        <w:br w:type="page"/>
      </w:r>
    </w:p>
    <w:p>
      <w:pPr>
        <w:tabs>
          <w:tab w:val="left" w:pos="2340"/>
        </w:tabs>
        <w:spacing w:line="480" w:lineRule="auto"/>
        <w:jc w:val="center"/>
        <w:rPr>
          <w:rFonts w:ascii="黑体" w:hAnsi="黑体" w:eastAsia="黑体"/>
          <w:b/>
          <w:bCs/>
          <w:sz w:val="32"/>
        </w:rPr>
      </w:pPr>
      <w:r>
        <w:rPr>
          <w:rFonts w:hint="eastAsia" w:ascii="黑体" w:hAnsi="黑体" w:eastAsia="黑体"/>
          <w:b/>
          <w:bCs/>
          <w:sz w:val="32"/>
        </w:rPr>
        <w:t>第一节 供货范围、技术规格、参数与要求</w:t>
      </w:r>
      <w:bookmarkEnd w:id="0"/>
      <w:bookmarkEnd w:id="1"/>
    </w:p>
    <w:p>
      <w:pPr>
        <w:adjustRightInd w:val="0"/>
        <w:snapToGrid w:val="0"/>
        <w:spacing w:before="312" w:beforeLines="100" w:after="312" w:afterLines="100" w:line="360" w:lineRule="auto"/>
        <w:ind w:left="2246" w:leftChars="-5" w:hanging="2256" w:hangingChars="1070"/>
        <w:rPr>
          <w:b/>
          <w:szCs w:val="21"/>
        </w:rPr>
      </w:pPr>
      <w:r>
        <w:rPr>
          <w:rFonts w:hint="eastAsia"/>
          <w:b/>
          <w:szCs w:val="21"/>
        </w:rPr>
        <w:t>一、货物需求一览表</w:t>
      </w:r>
    </w:p>
    <w:tbl>
      <w:tblPr>
        <w:tblStyle w:val="15"/>
        <w:tblW w:w="972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672"/>
        <w:gridCol w:w="2446"/>
        <w:gridCol w:w="1134"/>
        <w:gridCol w:w="709"/>
        <w:gridCol w:w="850"/>
        <w:gridCol w:w="1701"/>
        <w:gridCol w:w="1276"/>
        <w:gridCol w:w="9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454" w:hRule="atLeast"/>
          <w:jc w:val="center"/>
        </w:trPr>
        <w:tc>
          <w:tcPr>
            <w:tcW w:w="672"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Arial" w:hAnsi="Arial" w:eastAsia="Arial"/>
                <w:b/>
              </w:rPr>
            </w:pPr>
            <w:r>
              <w:rPr>
                <w:rFonts w:ascii="宋体" w:hAnsi="宋体"/>
                <w:b/>
              </w:rPr>
              <w:t>序</w:t>
            </w:r>
            <w:r>
              <w:rPr>
                <w:rFonts w:hint="eastAsia" w:ascii="宋体" w:hAnsi="宋体"/>
                <w:b/>
              </w:rPr>
              <w:t>号</w:t>
            </w:r>
          </w:p>
        </w:tc>
        <w:tc>
          <w:tcPr>
            <w:tcW w:w="2446"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Arial" w:hAnsi="Arial" w:eastAsia="Arial"/>
                <w:b/>
              </w:rPr>
            </w:pPr>
            <w:r>
              <w:rPr>
                <w:rFonts w:ascii="宋体" w:hAnsi="宋体"/>
                <w:b/>
              </w:rPr>
              <w:t>名称</w:t>
            </w:r>
          </w:p>
        </w:tc>
        <w:tc>
          <w:tcPr>
            <w:tcW w:w="1134"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b/>
              </w:rPr>
            </w:pPr>
            <w:r>
              <w:rPr>
                <w:rFonts w:hint="eastAsia" w:ascii="宋体" w:hAnsi="宋体"/>
                <w:b/>
                <w:lang w:eastAsia="zh-CN"/>
              </w:rPr>
              <w:t>参考</w:t>
            </w:r>
            <w:r>
              <w:rPr>
                <w:rFonts w:hint="eastAsia" w:ascii="宋体" w:hAnsi="宋体"/>
                <w:b/>
              </w:rPr>
              <w:t>型号</w:t>
            </w:r>
          </w:p>
        </w:tc>
        <w:tc>
          <w:tcPr>
            <w:tcW w:w="709"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Arial" w:hAnsi="Arial" w:eastAsia="Arial"/>
                <w:b/>
              </w:rPr>
            </w:pPr>
            <w:r>
              <w:rPr>
                <w:rFonts w:ascii="宋体" w:hAnsi="宋体"/>
                <w:b/>
              </w:rPr>
              <w:t>单位</w:t>
            </w:r>
          </w:p>
        </w:tc>
        <w:tc>
          <w:tcPr>
            <w:tcW w:w="850"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Arial" w:hAnsi="Arial" w:eastAsia="Arial"/>
                <w:b/>
              </w:rPr>
            </w:pPr>
            <w:r>
              <w:rPr>
                <w:rFonts w:ascii="宋体" w:hAnsi="宋体"/>
                <w:b/>
              </w:rPr>
              <w:t>数量</w:t>
            </w:r>
          </w:p>
        </w:tc>
        <w:tc>
          <w:tcPr>
            <w:tcW w:w="1701"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b/>
              </w:rPr>
            </w:pPr>
            <w:r>
              <w:rPr>
                <w:rFonts w:hint="eastAsia" w:ascii="宋体" w:hAnsi="宋体"/>
                <w:b/>
              </w:rPr>
              <w:t>交货时间</w:t>
            </w:r>
          </w:p>
        </w:tc>
        <w:tc>
          <w:tcPr>
            <w:tcW w:w="1276"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b/>
              </w:rPr>
            </w:pPr>
            <w:r>
              <w:rPr>
                <w:rFonts w:hint="eastAsia" w:ascii="宋体" w:hAnsi="宋体"/>
                <w:b/>
              </w:rPr>
              <w:t>交货地点</w:t>
            </w:r>
          </w:p>
        </w:tc>
        <w:tc>
          <w:tcPr>
            <w:tcW w:w="933"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Arial" w:hAnsi="Arial" w:eastAsia="Arial"/>
                <w:b/>
              </w:rPr>
            </w:pPr>
            <w:r>
              <w:rPr>
                <w:rFonts w:ascii="宋体" w:hAnsi="宋体"/>
                <w:b/>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454" w:hRule="atLeast"/>
          <w:jc w:val="center"/>
        </w:trPr>
        <w:tc>
          <w:tcPr>
            <w:tcW w:w="672"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szCs w:val="21"/>
              </w:rPr>
              <w:t>1</w:t>
            </w:r>
          </w:p>
        </w:tc>
        <w:tc>
          <w:tcPr>
            <w:tcW w:w="2446"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szCs w:val="21"/>
              </w:rPr>
              <w:t>夹持器</w:t>
            </w:r>
          </w:p>
        </w:tc>
        <w:tc>
          <w:tcPr>
            <w:tcW w:w="1134"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hint="eastAsia" w:ascii="宋体" w:hAnsi="宋体"/>
                <w:szCs w:val="21"/>
              </w:rPr>
              <w:t>DCM204</w:t>
            </w:r>
          </w:p>
        </w:tc>
        <w:tc>
          <w:tcPr>
            <w:tcW w:w="709"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hint="eastAsia" w:ascii="宋体" w:hAnsi="宋体"/>
                <w:szCs w:val="21"/>
              </w:rPr>
              <w:t>米</w:t>
            </w:r>
          </w:p>
        </w:tc>
        <w:tc>
          <w:tcPr>
            <w:tcW w:w="850"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hint="eastAsia" w:ascii="宋体" w:hAnsi="宋体"/>
                <w:szCs w:val="21"/>
              </w:rPr>
              <w:t>300</w:t>
            </w:r>
          </w:p>
        </w:tc>
        <w:tc>
          <w:tcPr>
            <w:tcW w:w="1701"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hint="eastAsia" w:ascii="宋体" w:hAnsi="宋体"/>
                <w:szCs w:val="21"/>
              </w:rPr>
              <w:t>自合同签订之日起30日内交货</w:t>
            </w:r>
          </w:p>
        </w:tc>
        <w:tc>
          <w:tcPr>
            <w:tcW w:w="1276"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hint="eastAsia" w:ascii="宋体" w:hAnsi="宋体"/>
                <w:szCs w:val="21"/>
              </w:rPr>
              <w:t>上湾选煤厂</w:t>
            </w:r>
          </w:p>
        </w:tc>
        <w:tc>
          <w:tcPr>
            <w:tcW w:w="933"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454" w:hRule="atLeast"/>
          <w:jc w:val="center"/>
        </w:trPr>
        <w:tc>
          <w:tcPr>
            <w:tcW w:w="672"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szCs w:val="21"/>
              </w:rPr>
              <w:t>2</w:t>
            </w:r>
          </w:p>
        </w:tc>
        <w:tc>
          <w:tcPr>
            <w:tcW w:w="2446"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szCs w:val="21"/>
              </w:rPr>
              <w:t>专用工具</w:t>
            </w:r>
          </w:p>
        </w:tc>
        <w:tc>
          <w:tcPr>
            <w:tcW w:w="1134"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709"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szCs w:val="21"/>
              </w:rPr>
              <w:t>批</w:t>
            </w:r>
          </w:p>
        </w:tc>
        <w:tc>
          <w:tcPr>
            <w:tcW w:w="850"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hint="eastAsia" w:ascii="宋体" w:hAnsi="宋体"/>
                <w:szCs w:val="21"/>
              </w:rPr>
              <w:t>0</w:t>
            </w:r>
          </w:p>
        </w:tc>
        <w:tc>
          <w:tcPr>
            <w:tcW w:w="1701"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1276"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933"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454" w:hRule="atLeast"/>
          <w:jc w:val="center"/>
        </w:trPr>
        <w:tc>
          <w:tcPr>
            <w:tcW w:w="672"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szCs w:val="21"/>
              </w:rPr>
              <w:t>3</w:t>
            </w:r>
          </w:p>
        </w:tc>
        <w:tc>
          <w:tcPr>
            <w:tcW w:w="2446"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szCs w:val="21"/>
              </w:rPr>
              <w:t>技术资料</w:t>
            </w:r>
          </w:p>
        </w:tc>
        <w:tc>
          <w:tcPr>
            <w:tcW w:w="1134"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709"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hint="eastAsia" w:ascii="宋体" w:hAnsi="宋体"/>
                <w:szCs w:val="21"/>
              </w:rPr>
              <w:t>套/台</w:t>
            </w:r>
          </w:p>
        </w:tc>
        <w:tc>
          <w:tcPr>
            <w:tcW w:w="850"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hint="eastAsia" w:ascii="宋体" w:hAnsi="宋体"/>
                <w:szCs w:val="21"/>
              </w:rPr>
              <w:t>0</w:t>
            </w:r>
          </w:p>
        </w:tc>
        <w:tc>
          <w:tcPr>
            <w:tcW w:w="1701"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1276"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933"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r>
    </w:tbl>
    <w:p>
      <w:pPr>
        <w:adjustRightInd w:val="0"/>
        <w:snapToGrid w:val="0"/>
        <w:spacing w:before="312" w:beforeLines="100" w:after="312" w:afterLines="100" w:line="360" w:lineRule="auto"/>
        <w:rPr>
          <w:b/>
          <w:szCs w:val="21"/>
        </w:rPr>
      </w:pPr>
      <w:r>
        <w:rPr>
          <w:rFonts w:hint="eastAsia"/>
          <w:b/>
          <w:szCs w:val="21"/>
        </w:rPr>
        <w:t>二、工作环境</w:t>
      </w:r>
    </w:p>
    <w:p>
      <w:pPr>
        <w:adjustRightInd w:val="0"/>
        <w:snapToGrid w:val="0"/>
        <w:spacing w:line="360" w:lineRule="auto"/>
        <w:rPr>
          <w:rFonts w:ascii="宋体" w:hAnsi="宋体"/>
          <w:szCs w:val="21"/>
        </w:rPr>
      </w:pPr>
      <w:r>
        <w:rPr>
          <w:rFonts w:hint="eastAsia" w:ascii="宋体" w:hAnsi="宋体"/>
          <w:szCs w:val="21"/>
        </w:rPr>
        <w:t>1. 工作环境</w:t>
      </w:r>
    </w:p>
    <w:p>
      <w:pPr>
        <w:adjustRightInd w:val="0"/>
        <w:snapToGrid w:val="0"/>
        <w:spacing w:line="360" w:lineRule="auto"/>
        <w:ind w:left="707" w:leftChars="135" w:hanging="424" w:hangingChars="202"/>
        <w:rPr>
          <w:rFonts w:ascii="宋体" w:hAnsi="宋体"/>
          <w:szCs w:val="21"/>
        </w:rPr>
      </w:pPr>
      <w:r>
        <w:rPr>
          <w:rFonts w:hint="eastAsia" w:ascii="宋体"/>
          <w:bCs/>
          <w:szCs w:val="21"/>
        </w:rPr>
        <w:t>在含有大量煤尘、较为潮湿的选煤厂室内使用。</w:t>
      </w:r>
    </w:p>
    <w:p>
      <w:pPr>
        <w:adjustRightInd w:val="0"/>
        <w:snapToGrid w:val="0"/>
        <w:spacing w:line="360" w:lineRule="auto"/>
        <w:ind w:left="707" w:leftChars="135" w:hanging="424" w:hangingChars="202"/>
        <w:rPr>
          <w:rFonts w:ascii="宋体" w:hAnsi="宋体"/>
          <w:szCs w:val="21"/>
        </w:rPr>
      </w:pPr>
      <w:r>
        <w:rPr>
          <w:rFonts w:hint="eastAsia" w:ascii="宋体" w:hAnsi="宋体"/>
          <w:szCs w:val="21"/>
        </w:rPr>
        <w:t>最高温度：</w:t>
      </w:r>
      <w:r>
        <w:rPr>
          <w:rFonts w:hint="eastAsia" w:ascii="宋体" w:hAnsi="宋体"/>
          <w:szCs w:val="21"/>
          <w:u w:val="single"/>
        </w:rPr>
        <w:t xml:space="preserve">   +40℃     </w:t>
      </w:r>
      <w:r>
        <w:rPr>
          <w:rFonts w:hint="eastAsia" w:ascii="宋体" w:hAnsi="宋体"/>
          <w:szCs w:val="21"/>
        </w:rPr>
        <w:t>。</w:t>
      </w:r>
    </w:p>
    <w:p>
      <w:pPr>
        <w:adjustRightInd w:val="0"/>
        <w:snapToGrid w:val="0"/>
        <w:spacing w:line="360" w:lineRule="auto"/>
        <w:ind w:left="707" w:leftChars="135" w:hanging="424" w:hangingChars="202"/>
        <w:rPr>
          <w:rFonts w:ascii="宋体" w:hAnsi="宋体"/>
          <w:szCs w:val="21"/>
        </w:rPr>
      </w:pPr>
      <w:r>
        <w:rPr>
          <w:rFonts w:hint="eastAsia" w:ascii="宋体" w:hAnsi="宋体"/>
          <w:szCs w:val="21"/>
        </w:rPr>
        <w:t>最低温度：</w:t>
      </w:r>
      <w:r>
        <w:rPr>
          <w:rFonts w:hint="eastAsia" w:ascii="宋体" w:hAnsi="宋体"/>
          <w:szCs w:val="21"/>
          <w:u w:val="single"/>
        </w:rPr>
        <w:t xml:space="preserve">   -30℃     </w:t>
      </w:r>
      <w:r>
        <w:rPr>
          <w:rFonts w:hint="eastAsia" w:ascii="宋体" w:hAnsi="宋体"/>
          <w:szCs w:val="21"/>
        </w:rPr>
        <w:t>。</w:t>
      </w:r>
    </w:p>
    <w:p>
      <w:pPr>
        <w:adjustRightInd w:val="0"/>
        <w:snapToGrid w:val="0"/>
        <w:spacing w:line="360" w:lineRule="auto"/>
        <w:ind w:left="707" w:leftChars="135" w:hanging="424" w:hangingChars="202"/>
        <w:rPr>
          <w:rFonts w:ascii="宋体" w:hAnsi="宋体"/>
          <w:szCs w:val="21"/>
        </w:rPr>
      </w:pPr>
      <w:r>
        <w:rPr>
          <w:rFonts w:hint="eastAsia" w:ascii="宋体" w:hAnsi="宋体"/>
          <w:szCs w:val="21"/>
        </w:rPr>
        <w:t>年平均气温：</w:t>
      </w:r>
      <w:r>
        <w:rPr>
          <w:rFonts w:hint="eastAsia" w:ascii="宋体" w:hAnsi="宋体"/>
          <w:szCs w:val="21"/>
          <w:u w:val="single"/>
        </w:rPr>
        <w:t xml:space="preserve">  +15℃    </w:t>
      </w:r>
      <w:r>
        <w:rPr>
          <w:rFonts w:hint="eastAsia" w:ascii="宋体" w:hAnsi="宋体"/>
          <w:szCs w:val="21"/>
        </w:rPr>
        <w:t>。</w:t>
      </w:r>
    </w:p>
    <w:p>
      <w:pPr>
        <w:adjustRightInd w:val="0"/>
        <w:snapToGrid w:val="0"/>
        <w:spacing w:line="360" w:lineRule="auto"/>
        <w:ind w:left="707" w:leftChars="135" w:hanging="424" w:hangingChars="202"/>
        <w:rPr>
          <w:rFonts w:ascii="宋体" w:hAnsi="宋体"/>
          <w:szCs w:val="21"/>
        </w:rPr>
      </w:pPr>
      <w:r>
        <w:rPr>
          <w:rFonts w:hint="eastAsia" w:ascii="宋体" w:hAnsi="宋体"/>
          <w:szCs w:val="21"/>
        </w:rPr>
        <w:t>环境相对湿度：</w:t>
      </w:r>
      <w:r>
        <w:rPr>
          <w:rFonts w:hint="eastAsia" w:ascii="宋体" w:hAnsi="宋体"/>
          <w:spacing w:val="-5"/>
          <w:kern w:val="0"/>
          <w:sz w:val="24"/>
          <w:szCs w:val="20"/>
          <w:u w:val="single"/>
        </w:rPr>
        <w:t>95％</w:t>
      </w:r>
      <w:r>
        <w:rPr>
          <w:rFonts w:hint="eastAsia" w:ascii="宋体" w:hAnsi="宋体"/>
          <w:szCs w:val="21"/>
        </w:rPr>
        <w:t>。</w:t>
      </w:r>
    </w:p>
    <w:p>
      <w:pPr>
        <w:adjustRightInd w:val="0"/>
        <w:snapToGrid w:val="0"/>
        <w:spacing w:line="360" w:lineRule="auto"/>
        <w:ind w:left="707" w:leftChars="135" w:hanging="424" w:hangingChars="202"/>
        <w:rPr>
          <w:rFonts w:ascii="宋体" w:hAnsi="宋体"/>
          <w:szCs w:val="21"/>
        </w:rPr>
      </w:pPr>
      <w:r>
        <w:rPr>
          <w:rFonts w:hint="eastAsia" w:ascii="宋体" w:hAnsi="宋体"/>
          <w:szCs w:val="21"/>
        </w:rPr>
        <w:t>地震烈度：</w:t>
      </w:r>
      <w:r>
        <w:rPr>
          <w:rFonts w:hint="eastAsia" w:ascii="宋体" w:hAnsi="宋体"/>
          <w:szCs w:val="21"/>
          <w:u w:val="single"/>
        </w:rPr>
        <w:t xml:space="preserve">     7级     </w:t>
      </w:r>
      <w:r>
        <w:rPr>
          <w:rFonts w:hint="eastAsia" w:ascii="宋体" w:hAnsi="宋体"/>
          <w:szCs w:val="21"/>
        </w:rPr>
        <w:t>。</w:t>
      </w:r>
    </w:p>
    <w:p>
      <w:pPr>
        <w:adjustRightInd w:val="0"/>
        <w:snapToGrid w:val="0"/>
        <w:spacing w:line="360" w:lineRule="auto"/>
        <w:ind w:left="707" w:leftChars="135" w:hanging="424" w:hangingChars="202"/>
        <w:rPr>
          <w:rFonts w:hint="eastAsia" w:ascii="宋体" w:hAnsi="宋体"/>
          <w:szCs w:val="21"/>
        </w:rPr>
      </w:pPr>
      <w:r>
        <w:rPr>
          <w:rFonts w:hint="eastAsia" w:ascii="宋体" w:hAnsi="宋体"/>
          <w:szCs w:val="21"/>
        </w:rPr>
        <w:t>海拔高度：</w:t>
      </w:r>
      <w:r>
        <w:rPr>
          <w:rFonts w:hint="eastAsia" w:ascii="宋体" w:hAnsi="宋体"/>
          <w:spacing w:val="-5"/>
          <w:kern w:val="0"/>
          <w:sz w:val="24"/>
          <w:szCs w:val="20"/>
          <w:u w:val="single"/>
        </w:rPr>
        <w:t xml:space="preserve">≤1400m  </w:t>
      </w:r>
      <w:r>
        <w:rPr>
          <w:rFonts w:hint="eastAsia" w:ascii="宋体" w:hAnsi="宋体"/>
          <w:szCs w:val="21"/>
        </w:rPr>
        <w:t>。</w:t>
      </w:r>
    </w:p>
    <w:p>
      <w:pPr>
        <w:adjustRightInd w:val="0"/>
        <w:snapToGrid w:val="0"/>
        <w:spacing w:line="360" w:lineRule="auto"/>
        <w:ind w:left="707" w:leftChars="135" w:hanging="424" w:hangingChars="202"/>
        <w:rPr>
          <w:rFonts w:hint="eastAsia" w:ascii="宋体" w:hAnsi="宋体" w:eastAsia="宋体"/>
          <w:szCs w:val="21"/>
          <w:lang w:val="en-US" w:eastAsia="zh-CN"/>
        </w:rPr>
      </w:pPr>
      <w:r>
        <w:rPr>
          <w:rFonts w:hint="eastAsia" w:ascii="宋体" w:hAnsi="宋体"/>
          <w:szCs w:val="21"/>
          <w:lang w:val="en-US" w:eastAsia="zh-CN"/>
        </w:rPr>
        <w:t>用途：</w:t>
      </w:r>
      <w:r>
        <w:rPr>
          <w:rFonts w:hint="eastAsia" w:ascii="宋体" w:hAnsi="宋体"/>
          <w:szCs w:val="21"/>
          <w:u w:val="single"/>
          <w:lang w:val="en-US" w:eastAsia="zh-CN"/>
        </w:rPr>
        <w:t>配套双层防溢裙板应用于胶带机上。</w:t>
      </w:r>
    </w:p>
    <w:p>
      <w:pPr>
        <w:adjustRightInd w:val="0"/>
        <w:snapToGrid w:val="0"/>
        <w:spacing w:before="312" w:beforeLines="100" w:after="312" w:afterLines="100" w:line="360" w:lineRule="auto"/>
        <w:rPr>
          <w:b/>
          <w:szCs w:val="21"/>
        </w:rPr>
      </w:pPr>
      <w:r>
        <w:rPr>
          <w:rFonts w:hint="eastAsia"/>
          <w:b/>
          <w:szCs w:val="21"/>
        </w:rPr>
        <w:t>三、技术参数及要求</w:t>
      </w:r>
    </w:p>
    <w:p>
      <w:pPr>
        <w:spacing w:line="360" w:lineRule="auto"/>
        <w:rPr>
          <w:szCs w:val="21"/>
        </w:rPr>
      </w:pPr>
      <w:r>
        <w:rPr>
          <w:rFonts w:ascii="宋体" w:hAnsi="宋体"/>
          <w:szCs w:val="21"/>
        </w:rPr>
        <w:t>1.技术</w:t>
      </w:r>
      <w:r>
        <w:rPr>
          <w:rFonts w:hint="eastAsia"/>
          <w:szCs w:val="21"/>
        </w:rPr>
        <w:t>参数</w:t>
      </w:r>
    </w:p>
    <w:p>
      <w:pPr>
        <w:adjustRightInd w:val="0"/>
        <w:snapToGrid w:val="0"/>
        <w:spacing w:line="360" w:lineRule="auto"/>
        <w:ind w:left="705" w:leftChars="134" w:hanging="424" w:hangingChars="202"/>
        <w:rPr>
          <w:rFonts w:ascii="宋体" w:hAnsi="宋体"/>
          <w:szCs w:val="21"/>
        </w:rPr>
      </w:pPr>
      <w:r>
        <w:rPr>
          <w:rFonts w:hint="eastAsia" w:ascii="宋体" w:hAnsi="宋体"/>
        </w:rPr>
        <w:t>*</w:t>
      </w:r>
      <w:r>
        <w:rPr>
          <w:rFonts w:hint="eastAsia" w:ascii="宋体" w:hAnsi="宋体"/>
          <w:szCs w:val="21"/>
        </w:rPr>
        <w:t>1.1.夹持器材质：</w:t>
      </w:r>
      <w:r>
        <w:rPr>
          <w:rFonts w:hint="eastAsia" w:ascii="宋体" w:hAnsi="宋体"/>
          <w:szCs w:val="21"/>
          <w:lang w:eastAsia="zh-CN"/>
        </w:rPr>
        <w:t>不低于</w:t>
      </w:r>
      <w:r>
        <w:rPr>
          <w:rFonts w:hint="eastAsia" w:ascii="宋体" w:hAnsi="宋体"/>
          <w:szCs w:val="21"/>
        </w:rPr>
        <w:t>Q</w:t>
      </w:r>
      <w:r>
        <w:rPr>
          <w:rFonts w:hint="eastAsia" w:ascii="宋体" w:hAnsi="宋体"/>
          <w:szCs w:val="21"/>
          <w:lang w:val="en-US" w:eastAsia="zh-CN"/>
        </w:rPr>
        <w:t>345</w:t>
      </w:r>
    </w:p>
    <w:p>
      <w:pPr>
        <w:adjustRightInd w:val="0"/>
        <w:snapToGrid w:val="0"/>
        <w:spacing w:line="360" w:lineRule="auto"/>
        <w:ind w:left="705" w:leftChars="134" w:hanging="424" w:hangingChars="202"/>
        <w:rPr>
          <w:rFonts w:ascii="宋体" w:hAnsi="宋体"/>
          <w:szCs w:val="21"/>
        </w:rPr>
      </w:pPr>
      <w:bookmarkStart w:id="4" w:name="_GoBack"/>
      <w:bookmarkEnd w:id="4"/>
      <w:r>
        <w:rPr>
          <w:rFonts w:hint="eastAsia" w:ascii="宋体" w:hAnsi="宋体"/>
          <w:szCs w:val="21"/>
        </w:rPr>
        <w:t>1.</w:t>
      </w:r>
      <w:r>
        <w:rPr>
          <w:rFonts w:hint="eastAsia" w:ascii="宋体" w:hAnsi="宋体"/>
          <w:szCs w:val="21"/>
          <w:lang w:val="en-US" w:eastAsia="zh-CN"/>
        </w:rPr>
        <w:t>2</w:t>
      </w:r>
      <w:r>
        <w:rPr>
          <w:rFonts w:hint="eastAsia" w:ascii="宋体" w:hAnsi="宋体"/>
          <w:szCs w:val="21"/>
        </w:rPr>
        <w:t>.夹持器卡具</w:t>
      </w:r>
      <w:r>
        <w:rPr>
          <w:rFonts w:hint="eastAsia" w:ascii="宋体" w:hAnsi="宋体"/>
          <w:szCs w:val="21"/>
          <w:lang w:val="en-US" w:eastAsia="zh-CN"/>
        </w:rPr>
        <w:t>配套数量</w:t>
      </w:r>
      <w:r>
        <w:rPr>
          <w:rFonts w:hint="eastAsia" w:ascii="宋体" w:hAnsi="宋体"/>
          <w:szCs w:val="21"/>
        </w:rPr>
        <w:t>：每米不少于3个</w:t>
      </w:r>
    </w:p>
    <w:p>
      <w:pPr>
        <w:adjustRightInd w:val="0"/>
        <w:snapToGrid w:val="0"/>
        <w:spacing w:line="360" w:lineRule="auto"/>
        <w:ind w:left="705" w:leftChars="134" w:hanging="424" w:hangingChars="202"/>
        <w:rPr>
          <w:rFonts w:hint="eastAsia" w:ascii="宋体" w:hAnsi="宋体"/>
          <w:szCs w:val="21"/>
        </w:rPr>
      </w:pPr>
      <w:r>
        <w:rPr>
          <w:rFonts w:hint="eastAsia" w:ascii="宋体" w:hAnsi="宋体"/>
        </w:rPr>
        <w:t>*</w:t>
      </w:r>
      <w:r>
        <w:rPr>
          <w:rFonts w:hint="eastAsia" w:ascii="宋体" w:hAnsi="宋体"/>
          <w:szCs w:val="21"/>
        </w:rPr>
        <w:t>1.</w:t>
      </w:r>
      <w:r>
        <w:rPr>
          <w:rFonts w:hint="eastAsia" w:ascii="宋体" w:hAnsi="宋体"/>
          <w:szCs w:val="21"/>
          <w:lang w:val="en-US" w:eastAsia="zh-CN"/>
        </w:rPr>
        <w:t>3</w:t>
      </w:r>
      <w:r>
        <w:rPr>
          <w:rFonts w:hint="eastAsia" w:ascii="宋体" w:hAnsi="宋体"/>
          <w:szCs w:val="21"/>
        </w:rPr>
        <w:t>.夹持器表面处理：静电粉末喷涂，喷涂材料为粉末聚丙烯，喷涂</w:t>
      </w:r>
      <w:r>
        <w:rPr>
          <w:rFonts w:hint="eastAsia" w:ascii="宋体" w:hAnsi="宋体"/>
          <w:szCs w:val="21"/>
          <w:lang w:val="en-US" w:eastAsia="zh-CN"/>
        </w:rPr>
        <w:t>厚度不小于</w:t>
      </w:r>
      <w:r>
        <w:rPr>
          <w:rFonts w:hint="eastAsia" w:ascii="宋体" w:hAnsi="宋体"/>
          <w:szCs w:val="21"/>
        </w:rPr>
        <w:t>100μ</w:t>
      </w:r>
      <w:r>
        <w:rPr>
          <w:rFonts w:ascii="宋体" w:hAnsi="宋体"/>
          <w:szCs w:val="21"/>
        </w:rPr>
        <w:t>m</w:t>
      </w:r>
      <w:r>
        <w:rPr>
          <w:rFonts w:hint="eastAsia" w:ascii="宋体" w:hAnsi="宋体"/>
          <w:szCs w:val="21"/>
        </w:rPr>
        <w:t>。</w:t>
      </w:r>
    </w:p>
    <w:p>
      <w:pPr>
        <w:adjustRightInd w:val="0"/>
        <w:snapToGrid w:val="0"/>
        <w:spacing w:line="360" w:lineRule="auto"/>
        <w:ind w:left="705" w:leftChars="134" w:hanging="424" w:hangingChars="202"/>
        <w:rPr>
          <w:rFonts w:hint="eastAsia" w:ascii="宋体" w:hAnsi="宋体"/>
          <w:szCs w:val="21"/>
        </w:rPr>
      </w:pPr>
      <w:r>
        <w:rPr>
          <w:rFonts w:hint="eastAsia" w:ascii="宋体" w:hAnsi="宋体"/>
          <w:szCs w:val="21"/>
        </w:rPr>
        <w:t>1.</w:t>
      </w:r>
      <w:r>
        <w:rPr>
          <w:rFonts w:hint="eastAsia" w:ascii="宋体" w:hAnsi="宋体"/>
          <w:szCs w:val="21"/>
          <w:lang w:val="en-US" w:eastAsia="zh-CN"/>
        </w:rPr>
        <w:t>4</w:t>
      </w:r>
      <w:r>
        <w:rPr>
          <w:rFonts w:hint="eastAsia" w:ascii="宋体" w:hAnsi="宋体"/>
          <w:szCs w:val="21"/>
        </w:rPr>
        <w:t>.夹持器</w:t>
      </w:r>
      <w:r>
        <w:rPr>
          <w:rFonts w:hint="eastAsia" w:ascii="宋体" w:hAnsi="宋体"/>
          <w:szCs w:val="21"/>
          <w:lang w:val="en-US" w:eastAsia="zh-CN"/>
        </w:rPr>
        <w:t>卡具压紧方式：</w:t>
      </w:r>
      <w:r>
        <w:rPr>
          <w:rFonts w:hint="eastAsia" w:ascii="宋体"/>
          <w:spacing w:val="-5"/>
          <w:kern w:val="0"/>
          <w:szCs w:val="21"/>
        </w:rPr>
        <w:t>手柄式压紧装置</w:t>
      </w:r>
    </w:p>
    <w:p>
      <w:pPr>
        <w:pStyle w:val="17"/>
        <w:tabs>
          <w:tab w:val="left" w:pos="1290"/>
          <w:tab w:val="left" w:pos="1680"/>
        </w:tabs>
        <w:adjustRightInd w:val="0"/>
        <w:snapToGrid w:val="0"/>
        <w:spacing w:line="360" w:lineRule="auto"/>
        <w:rPr>
          <w:sz w:val="21"/>
          <w:szCs w:val="21"/>
        </w:rPr>
      </w:pPr>
      <w:r>
        <w:rPr>
          <w:rFonts w:hint="eastAsia"/>
          <w:sz w:val="21"/>
          <w:szCs w:val="21"/>
          <w:lang w:val="en-US" w:eastAsia="zh-CN"/>
        </w:rPr>
        <w:t>2</w:t>
      </w:r>
      <w:r>
        <w:rPr>
          <w:rFonts w:hint="eastAsia"/>
          <w:sz w:val="21"/>
          <w:szCs w:val="21"/>
        </w:rPr>
        <w:t>.招标人提出的特别技术要求</w:t>
      </w:r>
    </w:p>
    <w:p>
      <w:pPr>
        <w:pStyle w:val="17"/>
        <w:tabs>
          <w:tab w:val="left" w:pos="1290"/>
          <w:tab w:val="left" w:pos="1680"/>
        </w:tabs>
        <w:adjustRightInd w:val="0"/>
        <w:snapToGrid w:val="0"/>
        <w:spacing w:line="360" w:lineRule="auto"/>
        <w:rPr>
          <w:sz w:val="21"/>
          <w:szCs w:val="21"/>
        </w:rPr>
      </w:pPr>
      <w:r>
        <w:rPr>
          <w:rFonts w:hint="eastAsia"/>
          <w:sz w:val="21"/>
          <w:szCs w:val="21"/>
        </w:rPr>
        <w:t xml:space="preserve">  </w:t>
      </w:r>
      <w:r>
        <w:rPr>
          <w:rFonts w:hint="eastAsia"/>
          <w:sz w:val="21"/>
          <w:szCs w:val="21"/>
          <w:lang w:val="en-US" w:eastAsia="zh-CN"/>
        </w:rPr>
        <w:t>2</w:t>
      </w:r>
      <w:r>
        <w:rPr>
          <w:rFonts w:hint="eastAsia"/>
          <w:sz w:val="21"/>
          <w:szCs w:val="21"/>
        </w:rPr>
        <w:t>.1.投标厂家必须对招标文件中的技术条款逐条解释并满足工作环境。</w:t>
      </w:r>
    </w:p>
    <w:p>
      <w:pPr>
        <w:pStyle w:val="17"/>
        <w:tabs>
          <w:tab w:val="left" w:pos="1290"/>
          <w:tab w:val="left" w:pos="1680"/>
        </w:tabs>
        <w:adjustRightInd w:val="0"/>
        <w:snapToGrid w:val="0"/>
        <w:spacing w:line="360" w:lineRule="auto"/>
        <w:rPr>
          <w:sz w:val="21"/>
          <w:szCs w:val="21"/>
        </w:rPr>
      </w:pPr>
      <w:r>
        <w:rPr>
          <w:rFonts w:hint="eastAsia"/>
          <w:sz w:val="21"/>
          <w:szCs w:val="21"/>
        </w:rPr>
        <w:t xml:space="preserve">  </w:t>
      </w:r>
      <w:r>
        <w:rPr>
          <w:rFonts w:hint="eastAsia"/>
          <w:sz w:val="21"/>
          <w:szCs w:val="21"/>
          <w:lang w:val="en-US" w:eastAsia="zh-CN"/>
        </w:rPr>
        <w:t>2</w:t>
      </w:r>
      <w:r>
        <w:rPr>
          <w:rFonts w:hint="eastAsia"/>
          <w:sz w:val="21"/>
          <w:szCs w:val="21"/>
        </w:rPr>
        <w:t>.2.投标产品必须满足相关的最新国家和行业标准要求，招标技术要求中相关条款指标高于国家行业要求的，按照招标文件要求条款执行。</w:t>
      </w:r>
    </w:p>
    <w:p>
      <w:pPr>
        <w:pStyle w:val="17"/>
        <w:tabs>
          <w:tab w:val="left" w:pos="1290"/>
          <w:tab w:val="left" w:pos="1680"/>
        </w:tabs>
        <w:adjustRightInd w:val="0"/>
        <w:snapToGrid w:val="0"/>
        <w:spacing w:line="360" w:lineRule="auto"/>
        <w:ind w:firstLine="210" w:firstLineChars="100"/>
        <w:rPr>
          <w:rFonts w:hAnsi="宋体"/>
          <w:sz w:val="21"/>
          <w:szCs w:val="21"/>
        </w:rPr>
      </w:pPr>
      <w:r>
        <w:rPr>
          <w:rFonts w:hint="eastAsia" w:hAnsi="宋体"/>
          <w:sz w:val="21"/>
          <w:szCs w:val="21"/>
        </w:rPr>
        <w:t>*</w:t>
      </w:r>
      <w:r>
        <w:rPr>
          <w:rFonts w:hint="eastAsia" w:hAnsi="宋体"/>
          <w:sz w:val="21"/>
          <w:szCs w:val="21"/>
          <w:lang w:val="en-US" w:eastAsia="zh-CN"/>
        </w:rPr>
        <w:t>2</w:t>
      </w:r>
      <w:r>
        <w:rPr>
          <w:rFonts w:hint="eastAsia" w:hAnsi="宋体"/>
          <w:sz w:val="21"/>
          <w:szCs w:val="21"/>
        </w:rPr>
        <w:t>.</w:t>
      </w:r>
      <w:r>
        <w:rPr>
          <w:rFonts w:hint="eastAsia" w:hAnsi="宋体"/>
          <w:sz w:val="21"/>
          <w:szCs w:val="21"/>
          <w:lang w:val="en-US" w:eastAsia="zh-CN"/>
        </w:rPr>
        <w:t>3</w:t>
      </w:r>
      <w:r>
        <w:rPr>
          <w:rFonts w:hint="eastAsia" w:hAnsi="宋体"/>
          <w:sz w:val="21"/>
          <w:szCs w:val="21"/>
        </w:rPr>
        <w:t>.与</w:t>
      </w:r>
      <w:r>
        <w:rPr>
          <w:rFonts w:hint="eastAsia" w:hAnsi="宋体"/>
          <w:sz w:val="21"/>
          <w:szCs w:val="21"/>
          <w:lang w:val="en-US" w:eastAsia="zh-CN"/>
        </w:rPr>
        <w:t>双层</w:t>
      </w:r>
      <w:r>
        <w:rPr>
          <w:rFonts w:hint="eastAsia" w:hAnsi="宋体"/>
          <w:sz w:val="21"/>
          <w:szCs w:val="21"/>
        </w:rPr>
        <w:t>防溢裙板配套使用，需同时采购招标同一厂家产品。</w:t>
      </w:r>
    </w:p>
    <w:p>
      <w:pPr>
        <w:adjustRightInd w:val="0"/>
        <w:snapToGrid w:val="0"/>
        <w:spacing w:before="312" w:beforeLines="100" w:after="312" w:afterLines="100" w:line="360" w:lineRule="auto"/>
        <w:rPr>
          <w:b/>
        </w:rPr>
      </w:pPr>
      <w:r>
        <w:rPr>
          <w:rFonts w:hint="eastAsia"/>
          <w:b/>
        </w:rPr>
        <w:t>四. 需投标人提供的技术参数</w:t>
      </w:r>
    </w:p>
    <w:p>
      <w:pPr>
        <w:spacing w:line="360" w:lineRule="auto"/>
        <w:rPr>
          <w:rFonts w:ascii="宋体" w:hAnsi="宋体"/>
          <w:szCs w:val="21"/>
        </w:rPr>
      </w:pPr>
      <w:r>
        <w:rPr>
          <w:rFonts w:hint="eastAsia" w:ascii="宋体"/>
          <w:spacing w:val="-5"/>
          <w:kern w:val="0"/>
          <w:szCs w:val="21"/>
        </w:rPr>
        <w:t>1 .技术参数及性能</w:t>
      </w:r>
    </w:p>
    <w:p>
      <w:pPr>
        <w:adjustRightInd w:val="0"/>
        <w:snapToGrid w:val="0"/>
        <w:spacing w:line="360" w:lineRule="auto"/>
        <w:ind w:left="705" w:leftChars="134" w:hanging="424" w:hangingChars="202"/>
        <w:rPr>
          <w:rFonts w:ascii="宋体" w:hAnsi="宋体"/>
          <w:szCs w:val="21"/>
        </w:rPr>
      </w:pPr>
      <w:r>
        <w:rPr>
          <w:rFonts w:hint="eastAsia" w:ascii="宋体" w:hAnsi="宋体"/>
          <w:szCs w:val="21"/>
        </w:rPr>
        <w:t>1.1.夹持器材质：</w:t>
      </w:r>
    </w:p>
    <w:p>
      <w:pPr>
        <w:adjustRightInd w:val="0"/>
        <w:snapToGrid w:val="0"/>
        <w:spacing w:line="360" w:lineRule="auto"/>
        <w:ind w:left="705" w:leftChars="134" w:hanging="424" w:hangingChars="202"/>
        <w:rPr>
          <w:rFonts w:ascii="宋体" w:hAnsi="宋体"/>
          <w:szCs w:val="21"/>
        </w:rPr>
      </w:pPr>
      <w:r>
        <w:rPr>
          <w:rFonts w:hint="eastAsia" w:ascii="宋体" w:hAnsi="宋体"/>
          <w:szCs w:val="21"/>
        </w:rPr>
        <w:t>1.2.夹持器规格：</w:t>
      </w:r>
    </w:p>
    <w:p>
      <w:pPr>
        <w:adjustRightInd w:val="0"/>
        <w:snapToGrid w:val="0"/>
        <w:spacing w:line="360" w:lineRule="auto"/>
        <w:ind w:left="705" w:leftChars="134" w:hanging="424" w:hangingChars="202"/>
        <w:rPr>
          <w:rFonts w:ascii="宋体" w:hAnsi="宋体"/>
          <w:szCs w:val="21"/>
        </w:rPr>
      </w:pPr>
      <w:r>
        <w:rPr>
          <w:rFonts w:hint="eastAsia" w:ascii="宋体" w:hAnsi="宋体"/>
          <w:szCs w:val="21"/>
        </w:rPr>
        <w:t>1.3.夹持器卡具：</w:t>
      </w:r>
    </w:p>
    <w:p>
      <w:pPr>
        <w:adjustRightInd w:val="0"/>
        <w:snapToGrid w:val="0"/>
        <w:spacing w:line="360" w:lineRule="auto"/>
        <w:ind w:left="705" w:leftChars="134" w:hanging="424" w:hangingChars="202"/>
        <w:rPr>
          <w:rFonts w:ascii="宋体" w:hAnsi="宋体"/>
          <w:szCs w:val="21"/>
        </w:rPr>
      </w:pPr>
      <w:r>
        <w:rPr>
          <w:rFonts w:hint="eastAsia" w:ascii="宋体" w:hAnsi="宋体"/>
          <w:szCs w:val="21"/>
        </w:rPr>
        <w:t>1.4.夹持器表面处理：</w:t>
      </w:r>
    </w:p>
    <w:p>
      <w:pPr>
        <w:widowControl/>
        <w:jc w:val="left"/>
        <w:rPr>
          <w:rFonts w:ascii="宋体"/>
          <w:szCs w:val="21"/>
        </w:rPr>
      </w:pPr>
      <w:r>
        <w:rPr>
          <w:rFonts w:ascii="宋体"/>
          <w:szCs w:val="21"/>
        </w:rPr>
        <w:br w:type="page"/>
      </w:r>
    </w:p>
    <w:p>
      <w:pPr>
        <w:pStyle w:val="16"/>
        <w:jc w:val="center"/>
        <w:rPr>
          <w:rFonts w:ascii="黑体" w:hAnsi="黑体" w:cs="Times New Roman"/>
          <w:b/>
          <w:bCs/>
          <w:sz w:val="32"/>
          <w:szCs w:val="24"/>
        </w:rPr>
      </w:pPr>
      <w:bookmarkStart w:id="2" w:name="_Toc357086143"/>
      <w:r>
        <w:rPr>
          <w:rFonts w:hint="eastAsia" w:ascii="黑体" w:hAnsi="黑体" w:cs="Times New Roman"/>
          <w:b/>
          <w:bCs/>
          <w:sz w:val="32"/>
          <w:szCs w:val="24"/>
        </w:rPr>
        <w:t>第二节 出厂前检验与交货验收</w:t>
      </w:r>
      <w:bookmarkEnd w:id="2"/>
    </w:p>
    <w:p>
      <w:pPr>
        <w:adjustRightInd w:val="0"/>
        <w:snapToGrid w:val="0"/>
        <w:spacing w:line="360" w:lineRule="auto"/>
        <w:jc w:val="center"/>
        <w:rPr>
          <w:rFonts w:ascii="宋体" w:hAnsi="宋体"/>
          <w:szCs w:val="21"/>
        </w:rPr>
      </w:pPr>
    </w:p>
    <w:p>
      <w:pPr>
        <w:adjustRightInd w:val="0"/>
        <w:snapToGrid w:val="0"/>
        <w:spacing w:before="156" w:beforeLines="50" w:line="360" w:lineRule="auto"/>
        <w:ind w:left="315" w:leftChars="150" w:firstLine="105" w:firstLineChars="50"/>
        <w:rPr>
          <w:rFonts w:ascii="宋体" w:hAnsi="宋体"/>
          <w:szCs w:val="21"/>
        </w:rPr>
      </w:pPr>
      <w:r>
        <w:rPr>
          <w:rFonts w:hint="eastAsia" w:ascii="宋体" w:hAnsi="宋体"/>
          <w:szCs w:val="21"/>
        </w:rPr>
        <w:t>1. 为了对合同设备及其相关设备生产期间的质量检验，招标人有权派人到中标人所在工厂进行检验。为便于招标人质检要求，诸如必要的安全用具、办公用品、技术文件和图纸、核算数据、制造和检验标准及其它必备的检验数据应由中标人提供。</w:t>
      </w:r>
    </w:p>
    <w:p>
      <w:pPr>
        <w:adjustRightInd w:val="0"/>
        <w:snapToGrid w:val="0"/>
        <w:spacing w:before="156" w:beforeLines="50" w:line="360" w:lineRule="auto"/>
        <w:ind w:left="315" w:leftChars="150" w:firstLine="105" w:firstLineChars="50"/>
        <w:rPr>
          <w:rFonts w:ascii="宋体" w:hAnsi="宋体"/>
          <w:szCs w:val="21"/>
        </w:rPr>
      </w:pPr>
      <w:r>
        <w:rPr>
          <w:rFonts w:hint="eastAsia" w:ascii="宋体" w:hAnsi="宋体"/>
          <w:szCs w:val="21"/>
        </w:rPr>
        <w:t>2. 在制造期间招标人的一切监理和质检活动所形成的书面资料均不作为中标人产品质量证明文件。在交货前招标人的质检，既不能免去合同中属于投标人质量担保期范围内的责任，也不能替代设备抵运招标人现场的质量检验。</w:t>
      </w:r>
    </w:p>
    <w:p>
      <w:pPr>
        <w:adjustRightInd w:val="0"/>
        <w:snapToGrid w:val="0"/>
        <w:spacing w:before="156" w:beforeLines="50" w:line="360" w:lineRule="auto"/>
        <w:ind w:left="315" w:leftChars="150" w:firstLine="105" w:firstLineChars="50"/>
        <w:rPr>
          <w:rFonts w:ascii="宋体" w:hAnsi="宋体"/>
          <w:szCs w:val="21"/>
        </w:rPr>
      </w:pPr>
      <w:r>
        <w:rPr>
          <w:rFonts w:hint="eastAsia" w:ascii="宋体" w:hAnsi="宋体"/>
          <w:szCs w:val="21"/>
        </w:rPr>
        <w:t>3．在中检中质检团成员发现或提出的问题，双方应积极通过友好的态度协商解决。</w:t>
      </w:r>
    </w:p>
    <w:p>
      <w:pPr>
        <w:adjustRightInd w:val="0"/>
        <w:snapToGrid w:val="0"/>
        <w:spacing w:before="156" w:beforeLines="50" w:line="360" w:lineRule="auto"/>
        <w:ind w:left="315" w:leftChars="150" w:firstLine="105" w:firstLineChars="50"/>
        <w:rPr>
          <w:rFonts w:ascii="宋体" w:hAnsi="宋体"/>
          <w:szCs w:val="21"/>
        </w:rPr>
      </w:pPr>
      <w:r>
        <w:rPr>
          <w:rFonts w:hint="eastAsia" w:ascii="宋体" w:hAnsi="宋体"/>
          <w:szCs w:val="21"/>
        </w:rPr>
        <w:t>4. 设备在出厂前必须进行整体联合试运转，根据试运转时间确定招标人终检时间，联合试运转应在招标人终检人员监督下进行。</w:t>
      </w:r>
    </w:p>
    <w:p>
      <w:pPr>
        <w:adjustRightInd w:val="0"/>
        <w:snapToGrid w:val="0"/>
        <w:spacing w:before="156" w:beforeLines="50" w:line="360" w:lineRule="auto"/>
        <w:ind w:left="315" w:leftChars="150" w:firstLine="105" w:firstLineChars="50"/>
        <w:rPr>
          <w:rFonts w:ascii="宋体" w:hAnsi="宋体"/>
          <w:szCs w:val="21"/>
        </w:rPr>
      </w:pPr>
      <w:r>
        <w:rPr>
          <w:rFonts w:hint="eastAsia" w:ascii="宋体" w:hAnsi="宋体"/>
          <w:szCs w:val="21"/>
        </w:rPr>
        <w:t>5. 在设备到达招标人现场后组装试运转中如出现问题，原因是中标人没有在出厂前进行设备整体联合试运转，因此推迟的时间将按照推迟交货期来计算。</w:t>
      </w:r>
    </w:p>
    <w:p>
      <w:pPr>
        <w:adjustRightInd w:val="0"/>
        <w:snapToGrid w:val="0"/>
        <w:spacing w:before="156" w:beforeLines="50" w:line="360" w:lineRule="auto"/>
        <w:ind w:left="315" w:leftChars="150" w:firstLine="105" w:firstLineChars="50"/>
        <w:rPr>
          <w:rFonts w:ascii="宋体" w:hAnsi="宋体"/>
          <w:szCs w:val="21"/>
        </w:rPr>
      </w:pPr>
      <w:r>
        <w:rPr>
          <w:rFonts w:ascii="宋体" w:hAnsi="宋体"/>
          <w:szCs w:val="21"/>
        </w:rPr>
        <w:t>6</w:t>
      </w:r>
      <w:r>
        <w:rPr>
          <w:rFonts w:hint="eastAsia" w:ascii="宋体" w:hAnsi="宋体"/>
          <w:szCs w:val="21"/>
        </w:rPr>
        <w:t>. 在该附录中：</w:t>
      </w:r>
    </w:p>
    <w:p>
      <w:pPr>
        <w:adjustRightInd w:val="0"/>
        <w:snapToGrid w:val="0"/>
        <w:spacing w:before="156" w:beforeLines="50" w:line="360" w:lineRule="auto"/>
        <w:ind w:left="315" w:hanging="315" w:hangingChars="150"/>
        <w:rPr>
          <w:rFonts w:ascii="宋体" w:hAnsi="宋体"/>
          <w:szCs w:val="21"/>
        </w:rPr>
      </w:pPr>
      <w:r>
        <w:rPr>
          <w:rFonts w:hint="eastAsia" w:ascii="宋体" w:hAnsi="宋体"/>
          <w:szCs w:val="21"/>
        </w:rPr>
        <w:t>安装：意为招标人安装人员在中标人的服务工程人员的监督与指导下，将整套设备或一个系统安装起来。</w:t>
      </w:r>
    </w:p>
    <w:p>
      <w:pPr>
        <w:adjustRightInd w:val="0"/>
        <w:snapToGrid w:val="0"/>
        <w:spacing w:before="156" w:beforeLines="50" w:line="360" w:lineRule="auto"/>
        <w:ind w:left="315" w:hanging="315" w:hangingChars="150"/>
        <w:rPr>
          <w:rFonts w:ascii="宋体" w:hAnsi="宋体"/>
          <w:szCs w:val="21"/>
        </w:rPr>
      </w:pPr>
      <w:r>
        <w:rPr>
          <w:rFonts w:hint="eastAsia" w:ascii="宋体" w:hAnsi="宋体"/>
          <w:szCs w:val="21"/>
        </w:rPr>
        <w:t>试运转：即为在空载条件下测试该设备。</w:t>
      </w:r>
    </w:p>
    <w:p>
      <w:pPr>
        <w:adjustRightInd w:val="0"/>
        <w:snapToGrid w:val="0"/>
        <w:spacing w:before="156" w:beforeLines="50" w:line="360" w:lineRule="auto"/>
        <w:ind w:left="315" w:hanging="315" w:hangingChars="150"/>
        <w:rPr>
          <w:rFonts w:ascii="宋体" w:hAnsi="宋体"/>
          <w:szCs w:val="21"/>
        </w:rPr>
      </w:pPr>
      <w:r>
        <w:rPr>
          <w:rFonts w:hint="eastAsia" w:ascii="宋体" w:hAnsi="宋体"/>
          <w:szCs w:val="21"/>
        </w:rPr>
        <w:t xml:space="preserve">性能调试：即在它们的额定负载下测试设备，检查其是否能达到合同规定的所有技术性能。 </w:t>
      </w:r>
    </w:p>
    <w:p>
      <w:pPr>
        <w:adjustRightInd w:val="0"/>
        <w:snapToGrid w:val="0"/>
        <w:spacing w:before="156" w:beforeLines="50" w:line="360" w:lineRule="auto"/>
        <w:ind w:left="315" w:hanging="315" w:hangingChars="150"/>
        <w:rPr>
          <w:rFonts w:ascii="宋体" w:hAnsi="宋体"/>
          <w:szCs w:val="21"/>
        </w:rPr>
      </w:pPr>
      <w:r>
        <w:rPr>
          <w:rFonts w:hint="eastAsia" w:ascii="宋体" w:hAnsi="宋体"/>
          <w:szCs w:val="21"/>
        </w:rPr>
        <w:t>试运行：即为设备按照合同要求性能投入运转。</w:t>
      </w:r>
    </w:p>
    <w:p>
      <w:pPr>
        <w:adjustRightInd w:val="0"/>
        <w:snapToGrid w:val="0"/>
        <w:spacing w:before="156" w:beforeLines="50" w:line="360" w:lineRule="auto"/>
        <w:ind w:left="315" w:hanging="315" w:hangingChars="150"/>
        <w:rPr>
          <w:rFonts w:ascii="宋体" w:hAnsi="宋体"/>
          <w:szCs w:val="21"/>
        </w:rPr>
      </w:pPr>
      <w:r>
        <w:rPr>
          <w:rFonts w:hint="eastAsia" w:ascii="宋体" w:hAnsi="宋体"/>
          <w:szCs w:val="21"/>
        </w:rPr>
        <w:t>验收：即为该设备达到合同规定的试运转、性能调试和试运行技术要求后招标人正式接收。</w:t>
      </w:r>
    </w:p>
    <w:p>
      <w:pPr>
        <w:adjustRightInd w:val="0"/>
        <w:snapToGrid w:val="0"/>
        <w:spacing w:before="156" w:beforeLines="50" w:line="360" w:lineRule="auto"/>
        <w:ind w:left="315" w:leftChars="150"/>
        <w:rPr>
          <w:rFonts w:ascii="宋体" w:hAnsi="宋体"/>
          <w:szCs w:val="21"/>
        </w:rPr>
      </w:pPr>
      <w:r>
        <w:rPr>
          <w:rFonts w:ascii="宋体" w:hAnsi="宋体"/>
          <w:szCs w:val="21"/>
        </w:rPr>
        <w:t>7</w:t>
      </w:r>
      <w:r>
        <w:rPr>
          <w:rFonts w:hint="eastAsia" w:ascii="宋体" w:hAnsi="宋体"/>
          <w:szCs w:val="21"/>
        </w:rPr>
        <w:t>. 设备到货应随机提供出厂验收报告。</w:t>
      </w:r>
    </w:p>
    <w:p>
      <w:pPr>
        <w:adjustRightInd w:val="0"/>
        <w:snapToGrid w:val="0"/>
        <w:spacing w:before="156" w:beforeLines="50" w:line="360" w:lineRule="auto"/>
        <w:ind w:left="315" w:leftChars="150"/>
        <w:rPr>
          <w:rFonts w:ascii="宋体" w:hAnsi="宋体"/>
          <w:szCs w:val="21"/>
        </w:rPr>
      </w:pPr>
      <w:r>
        <w:rPr>
          <w:rFonts w:ascii="宋体" w:hAnsi="宋体"/>
          <w:szCs w:val="21"/>
        </w:rPr>
        <w:t>8</w:t>
      </w:r>
      <w:r>
        <w:rPr>
          <w:rFonts w:hint="eastAsia" w:ascii="宋体" w:hAnsi="宋体"/>
          <w:szCs w:val="21"/>
        </w:rPr>
        <w:t>．在设备经过试运转、性能调试、试运行之后，买卖双方对设备性能进行鉴定，符合合同要求，招标人出据验收证明并由中标人确认。验收标准为合同规定的要求和相关标准、中国国家标准、规范以及国际标准和双方认可的标准。</w:t>
      </w:r>
    </w:p>
    <w:p>
      <w:pPr>
        <w:pStyle w:val="16"/>
        <w:jc w:val="center"/>
      </w:pPr>
      <w:r>
        <w:rPr>
          <w:rFonts w:hint="eastAsia" w:ascii="宋体" w:hAnsi="宋体"/>
          <w:szCs w:val="21"/>
        </w:rPr>
        <w:br w:type="page"/>
      </w:r>
    </w:p>
    <w:p>
      <w:pPr>
        <w:pStyle w:val="16"/>
        <w:spacing w:before="156" w:beforeLines="50" w:after="156" w:afterLines="50" w:line="360" w:lineRule="auto"/>
        <w:jc w:val="center"/>
        <w:outlineLvl w:val="9"/>
        <w:rPr>
          <w:rFonts w:ascii="宋体" w:hAnsi="宋体" w:eastAsia="宋体"/>
          <w:b/>
          <w:sz w:val="24"/>
          <w:szCs w:val="24"/>
        </w:rPr>
      </w:pPr>
      <w:bookmarkStart w:id="3" w:name="_Toc357086144"/>
      <w:r>
        <w:rPr>
          <w:rFonts w:hint="eastAsia" w:ascii="黑体" w:hAnsi="黑体" w:cs="Times New Roman"/>
          <w:b/>
          <w:bCs/>
          <w:sz w:val="32"/>
          <w:szCs w:val="24"/>
        </w:rPr>
        <w:t>第三节 质量保证</w:t>
      </w:r>
    </w:p>
    <w:bookmarkEnd w:id="3"/>
    <w:p>
      <w:pPr>
        <w:widowControl/>
        <w:ind w:firstLine="420" w:firstLineChars="200"/>
        <w:jc w:val="left"/>
      </w:pPr>
      <w:r>
        <w:rPr>
          <w:rFonts w:hint="eastAsia"/>
        </w:rPr>
        <w:t>1. 质保期应为最终验收合格后12个月。对由于设计或质量问题而引起的设备故障，中标方应进一步对此负责。专用合同条款对质保有特殊规定的从其规定。</w:t>
      </w:r>
    </w:p>
    <w:p>
      <w:pPr>
        <w:widowControl/>
        <w:ind w:firstLine="420" w:firstLineChars="200"/>
        <w:jc w:val="left"/>
      </w:pPr>
      <w:r>
        <w:rPr>
          <w:rFonts w:hint="eastAsia"/>
        </w:rPr>
        <w:t>2. 中标方质保期内应免费对产品进行维修服务，无偿更换零件、部件,更换、维修后的部件质保期从产品正常运行之日起重新计算。</w:t>
      </w:r>
    </w:p>
    <w:p>
      <w:pPr>
        <w:widowControl/>
        <w:ind w:firstLine="420" w:firstLineChars="200"/>
        <w:jc w:val="left"/>
      </w:pPr>
      <w:r>
        <w:rPr>
          <w:rFonts w:hint="eastAsia"/>
        </w:rPr>
        <w:t>3. 中标方对设备大修周期、使用寿命及各主要部件的寿命承诺。</w:t>
      </w:r>
      <w:r>
        <w:br w:type="page"/>
      </w:r>
    </w:p>
    <w:p>
      <w:pPr>
        <w:pStyle w:val="16"/>
        <w:spacing w:before="156" w:beforeLines="50" w:after="156" w:afterLines="50" w:line="360" w:lineRule="auto"/>
        <w:jc w:val="center"/>
        <w:outlineLvl w:val="9"/>
        <w:rPr>
          <w:rFonts w:ascii="黑体" w:hAnsi="黑体" w:cs="Times New Roman"/>
          <w:b/>
          <w:bCs/>
          <w:sz w:val="32"/>
          <w:szCs w:val="24"/>
        </w:rPr>
      </w:pPr>
      <w:r>
        <w:rPr>
          <w:rFonts w:hint="eastAsia" w:ascii="黑体" w:hAnsi="黑体" w:cs="Times New Roman"/>
          <w:b/>
          <w:bCs/>
          <w:sz w:val="32"/>
          <w:szCs w:val="24"/>
        </w:rPr>
        <w:t>第四节 标准</w:t>
      </w:r>
    </w:p>
    <w:p>
      <w:pPr>
        <w:pStyle w:val="17"/>
        <w:tabs>
          <w:tab w:val="left" w:pos="1290"/>
          <w:tab w:val="left" w:pos="1680"/>
        </w:tabs>
        <w:adjustRightInd w:val="0"/>
        <w:snapToGrid w:val="0"/>
        <w:spacing w:before="120" w:after="0" w:line="360" w:lineRule="auto"/>
        <w:rPr>
          <w:sz w:val="21"/>
          <w:szCs w:val="21"/>
        </w:rPr>
      </w:pPr>
      <w:r>
        <w:rPr>
          <w:rFonts w:hint="eastAsia"/>
          <w:sz w:val="21"/>
          <w:szCs w:val="21"/>
        </w:rPr>
        <w:t>4.</w:t>
      </w:r>
      <w:r>
        <w:rPr>
          <w:sz w:val="21"/>
          <w:szCs w:val="21"/>
        </w:rPr>
        <w:t>1.所供应的货物将按下列标准（推荐）进行设计和制造</w:t>
      </w:r>
    </w:p>
    <w:p>
      <w:pPr>
        <w:pStyle w:val="17"/>
        <w:tabs>
          <w:tab w:val="left" w:pos="550"/>
        </w:tabs>
        <w:adjustRightInd w:val="0"/>
        <w:snapToGrid w:val="0"/>
        <w:spacing w:line="360" w:lineRule="auto"/>
        <w:ind w:left="546" w:leftChars="200" w:hanging="126" w:hangingChars="60"/>
        <w:rPr>
          <w:sz w:val="21"/>
          <w:szCs w:val="21"/>
        </w:rPr>
      </w:pPr>
      <w:r>
        <w:rPr>
          <w:sz w:val="21"/>
          <w:szCs w:val="21"/>
        </w:rPr>
        <w:t>电器:     IEC标准/EN标准</w:t>
      </w:r>
    </w:p>
    <w:p>
      <w:pPr>
        <w:pStyle w:val="17"/>
        <w:tabs>
          <w:tab w:val="left" w:pos="550"/>
        </w:tabs>
        <w:adjustRightInd w:val="0"/>
        <w:snapToGrid w:val="0"/>
        <w:spacing w:line="360" w:lineRule="auto"/>
        <w:ind w:firstLine="420" w:firstLineChars="200"/>
        <w:rPr>
          <w:sz w:val="21"/>
          <w:szCs w:val="21"/>
        </w:rPr>
      </w:pPr>
      <w:r>
        <w:rPr>
          <w:sz w:val="21"/>
          <w:szCs w:val="21"/>
        </w:rPr>
        <w:t>机械:     ISO标准</w:t>
      </w:r>
    </w:p>
    <w:p>
      <w:pPr>
        <w:pStyle w:val="17"/>
        <w:tabs>
          <w:tab w:val="left" w:pos="550"/>
        </w:tabs>
        <w:adjustRightInd w:val="0"/>
        <w:snapToGrid w:val="0"/>
        <w:spacing w:line="360" w:lineRule="auto"/>
        <w:ind w:firstLine="480" w:firstLineChars="200"/>
        <w:rPr>
          <w:sz w:val="21"/>
          <w:szCs w:val="21"/>
        </w:rPr>
      </w:pPr>
      <w:r>
        <w:rPr>
          <w:rFonts w:hAnsi="宋体" w:cs="宋体"/>
          <w:szCs w:val="21"/>
        </w:rPr>
        <w:t>……</w:t>
      </w:r>
    </w:p>
    <w:p>
      <w:pPr>
        <w:pStyle w:val="17"/>
        <w:tabs>
          <w:tab w:val="left" w:pos="1290"/>
          <w:tab w:val="left" w:pos="1680"/>
        </w:tabs>
        <w:adjustRightInd w:val="0"/>
        <w:snapToGrid w:val="0"/>
        <w:spacing w:line="360" w:lineRule="auto"/>
        <w:rPr>
          <w:sz w:val="21"/>
          <w:szCs w:val="21"/>
        </w:rPr>
      </w:pPr>
      <w:r>
        <w:rPr>
          <w:rFonts w:hint="eastAsia"/>
          <w:sz w:val="21"/>
          <w:szCs w:val="21"/>
        </w:rPr>
        <w:t>4.</w:t>
      </w:r>
      <w:r>
        <w:rPr>
          <w:sz w:val="21"/>
          <w:szCs w:val="21"/>
        </w:rPr>
        <w:t>2.设备的设计与制造要求采用国际公制单位，个别部件采用英制单位应列出清单。</w:t>
      </w:r>
    </w:p>
    <w:p>
      <w:pPr>
        <w:pStyle w:val="17"/>
        <w:tabs>
          <w:tab w:val="left" w:pos="1290"/>
          <w:tab w:val="left" w:pos="1680"/>
        </w:tabs>
        <w:adjustRightInd w:val="0"/>
        <w:snapToGrid w:val="0"/>
        <w:spacing w:line="360" w:lineRule="auto"/>
      </w:pPr>
      <w:r>
        <w:rPr>
          <w:rFonts w:hint="eastAsia"/>
          <w:sz w:val="21"/>
          <w:szCs w:val="21"/>
        </w:rPr>
        <w:t>4.</w:t>
      </w:r>
      <w:r>
        <w:rPr>
          <w:rFonts w:hint="eastAsia"/>
          <w:sz w:val="21"/>
          <w:szCs w:val="21"/>
          <w:lang w:val="en-US" w:eastAsia="zh-CN"/>
        </w:rPr>
        <w:t>3</w:t>
      </w:r>
      <w:r>
        <w:rPr>
          <w:rFonts w:hint="eastAsia"/>
          <w:sz w:val="21"/>
          <w:szCs w:val="21"/>
        </w:rPr>
        <w:t>.</w:t>
      </w:r>
      <w:r>
        <w:rPr>
          <w:sz w:val="21"/>
          <w:szCs w:val="21"/>
        </w:rPr>
        <w:t>上述标准均应为</w:t>
      </w:r>
      <w:r>
        <w:rPr>
          <w:rFonts w:hint="eastAsia"/>
          <w:sz w:val="21"/>
          <w:szCs w:val="21"/>
        </w:rPr>
        <w:t>投</w:t>
      </w:r>
      <w:r>
        <w:rPr>
          <w:sz w:val="21"/>
          <w:szCs w:val="21"/>
        </w:rPr>
        <w:t>标截止日时的最新有效版</w:t>
      </w:r>
      <w:r>
        <w:rPr>
          <w:rFonts w:hint="eastAsia"/>
          <w:sz w:val="21"/>
          <w:szCs w:val="21"/>
        </w:rPr>
        <w:t>。</w:t>
      </w:r>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Arial">
    <w:panose1 w:val="020B0604020202020204"/>
    <w:charset w:val="00"/>
    <w:family w:val="swiss"/>
    <w:pitch w:val="default"/>
    <w:sig w:usb0="E0002AFF" w:usb1="C0007843" w:usb2="00000009" w:usb3="00000000" w:csb0="400001FF" w:csb1="FFFF0000"/>
  </w:font>
  <w:font w:name="微软雅黑">
    <w:panose1 w:val="020B0503020204020204"/>
    <w:charset w:val="86"/>
    <w:family w:val="auto"/>
    <w:pitch w:val="default"/>
    <w:sig w:usb0="80000287" w:usb1="280F3C52"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rsids>
    <w:rsidRoot w:val="00324AED"/>
    <w:rsid w:val="000109C0"/>
    <w:rsid w:val="00015381"/>
    <w:rsid w:val="00020447"/>
    <w:rsid w:val="00034491"/>
    <w:rsid w:val="000349FF"/>
    <w:rsid w:val="00040FAA"/>
    <w:rsid w:val="00046393"/>
    <w:rsid w:val="00062A06"/>
    <w:rsid w:val="00074BAA"/>
    <w:rsid w:val="0008777B"/>
    <w:rsid w:val="000B4A8F"/>
    <w:rsid w:val="000C002E"/>
    <w:rsid w:val="000D0D6B"/>
    <w:rsid w:val="000D5B51"/>
    <w:rsid w:val="000E7E5F"/>
    <w:rsid w:val="000F7B2D"/>
    <w:rsid w:val="00142DC8"/>
    <w:rsid w:val="00152AAB"/>
    <w:rsid w:val="00155A24"/>
    <w:rsid w:val="001608A6"/>
    <w:rsid w:val="00162CD6"/>
    <w:rsid w:val="0017236C"/>
    <w:rsid w:val="00173B13"/>
    <w:rsid w:val="00175505"/>
    <w:rsid w:val="001803C1"/>
    <w:rsid w:val="001C2A35"/>
    <w:rsid w:val="001F4947"/>
    <w:rsid w:val="00205A97"/>
    <w:rsid w:val="00207DB2"/>
    <w:rsid w:val="00213B0F"/>
    <w:rsid w:val="00230C70"/>
    <w:rsid w:val="0023500D"/>
    <w:rsid w:val="00243118"/>
    <w:rsid w:val="0024361C"/>
    <w:rsid w:val="00247066"/>
    <w:rsid w:val="00254199"/>
    <w:rsid w:val="00255BF8"/>
    <w:rsid w:val="002633A5"/>
    <w:rsid w:val="00277706"/>
    <w:rsid w:val="00287971"/>
    <w:rsid w:val="002902C1"/>
    <w:rsid w:val="00292D0F"/>
    <w:rsid w:val="002A0807"/>
    <w:rsid w:val="002B31E9"/>
    <w:rsid w:val="002B606E"/>
    <w:rsid w:val="002C2B1B"/>
    <w:rsid w:val="002D5BFD"/>
    <w:rsid w:val="002E17F4"/>
    <w:rsid w:val="002E4385"/>
    <w:rsid w:val="0030306D"/>
    <w:rsid w:val="003133E1"/>
    <w:rsid w:val="00315A14"/>
    <w:rsid w:val="00324547"/>
    <w:rsid w:val="00324AED"/>
    <w:rsid w:val="003370AA"/>
    <w:rsid w:val="003415E0"/>
    <w:rsid w:val="003417A1"/>
    <w:rsid w:val="00343D04"/>
    <w:rsid w:val="00346425"/>
    <w:rsid w:val="0035078E"/>
    <w:rsid w:val="003538D6"/>
    <w:rsid w:val="00355943"/>
    <w:rsid w:val="0035699D"/>
    <w:rsid w:val="0036001B"/>
    <w:rsid w:val="003708D1"/>
    <w:rsid w:val="003764FB"/>
    <w:rsid w:val="00386656"/>
    <w:rsid w:val="003A43AD"/>
    <w:rsid w:val="003B3881"/>
    <w:rsid w:val="003B3F9D"/>
    <w:rsid w:val="003D0832"/>
    <w:rsid w:val="003D621C"/>
    <w:rsid w:val="003F38A7"/>
    <w:rsid w:val="003F6335"/>
    <w:rsid w:val="004013AD"/>
    <w:rsid w:val="004021E7"/>
    <w:rsid w:val="00405B14"/>
    <w:rsid w:val="00413602"/>
    <w:rsid w:val="00415933"/>
    <w:rsid w:val="004171CC"/>
    <w:rsid w:val="00424C95"/>
    <w:rsid w:val="00433399"/>
    <w:rsid w:val="00461056"/>
    <w:rsid w:val="00462545"/>
    <w:rsid w:val="0046284D"/>
    <w:rsid w:val="00481D87"/>
    <w:rsid w:val="00493E79"/>
    <w:rsid w:val="004954E0"/>
    <w:rsid w:val="004A2AEA"/>
    <w:rsid w:val="004A5487"/>
    <w:rsid w:val="004A5A90"/>
    <w:rsid w:val="004D4587"/>
    <w:rsid w:val="004E0346"/>
    <w:rsid w:val="004E5B57"/>
    <w:rsid w:val="004F2D6A"/>
    <w:rsid w:val="004F3F2B"/>
    <w:rsid w:val="004F5D0C"/>
    <w:rsid w:val="004F7AB4"/>
    <w:rsid w:val="00501850"/>
    <w:rsid w:val="00502BE3"/>
    <w:rsid w:val="0050670E"/>
    <w:rsid w:val="005210D7"/>
    <w:rsid w:val="005210E1"/>
    <w:rsid w:val="00522FE4"/>
    <w:rsid w:val="00524A09"/>
    <w:rsid w:val="005357F0"/>
    <w:rsid w:val="00543472"/>
    <w:rsid w:val="00564646"/>
    <w:rsid w:val="00595E43"/>
    <w:rsid w:val="00596F47"/>
    <w:rsid w:val="005A693C"/>
    <w:rsid w:val="005A6A5C"/>
    <w:rsid w:val="005B215D"/>
    <w:rsid w:val="005B219D"/>
    <w:rsid w:val="005B7C05"/>
    <w:rsid w:val="005C1073"/>
    <w:rsid w:val="005C1D0D"/>
    <w:rsid w:val="005C2EC1"/>
    <w:rsid w:val="005C3AC3"/>
    <w:rsid w:val="005D117A"/>
    <w:rsid w:val="005E1806"/>
    <w:rsid w:val="005E2C8D"/>
    <w:rsid w:val="005F1F39"/>
    <w:rsid w:val="005F4F61"/>
    <w:rsid w:val="005F6C66"/>
    <w:rsid w:val="00604F0E"/>
    <w:rsid w:val="00607817"/>
    <w:rsid w:val="006118E4"/>
    <w:rsid w:val="00616668"/>
    <w:rsid w:val="00622085"/>
    <w:rsid w:val="00644CBA"/>
    <w:rsid w:val="0064539F"/>
    <w:rsid w:val="00652874"/>
    <w:rsid w:val="00674855"/>
    <w:rsid w:val="0068763C"/>
    <w:rsid w:val="00695B06"/>
    <w:rsid w:val="006B3D97"/>
    <w:rsid w:val="006C2B88"/>
    <w:rsid w:val="006C3017"/>
    <w:rsid w:val="006C3ED5"/>
    <w:rsid w:val="006D30B3"/>
    <w:rsid w:val="006D365C"/>
    <w:rsid w:val="006D7121"/>
    <w:rsid w:val="006E52DC"/>
    <w:rsid w:val="006F7261"/>
    <w:rsid w:val="0072646E"/>
    <w:rsid w:val="0073246F"/>
    <w:rsid w:val="00734DF3"/>
    <w:rsid w:val="007404F7"/>
    <w:rsid w:val="0074278F"/>
    <w:rsid w:val="00765FB3"/>
    <w:rsid w:val="007673B9"/>
    <w:rsid w:val="00782F74"/>
    <w:rsid w:val="00786E22"/>
    <w:rsid w:val="00786ECA"/>
    <w:rsid w:val="00790A71"/>
    <w:rsid w:val="00796B6E"/>
    <w:rsid w:val="007A37E8"/>
    <w:rsid w:val="007A5778"/>
    <w:rsid w:val="007A7F03"/>
    <w:rsid w:val="007B4B26"/>
    <w:rsid w:val="007C1437"/>
    <w:rsid w:val="007D0BF6"/>
    <w:rsid w:val="007D1C2F"/>
    <w:rsid w:val="007E32CA"/>
    <w:rsid w:val="007E5832"/>
    <w:rsid w:val="007E5ACB"/>
    <w:rsid w:val="00806923"/>
    <w:rsid w:val="0080693E"/>
    <w:rsid w:val="00807102"/>
    <w:rsid w:val="008156D9"/>
    <w:rsid w:val="00821955"/>
    <w:rsid w:val="00826F56"/>
    <w:rsid w:val="0083250C"/>
    <w:rsid w:val="0083563D"/>
    <w:rsid w:val="00840020"/>
    <w:rsid w:val="00843418"/>
    <w:rsid w:val="00845825"/>
    <w:rsid w:val="00853966"/>
    <w:rsid w:val="00855944"/>
    <w:rsid w:val="00857787"/>
    <w:rsid w:val="00881676"/>
    <w:rsid w:val="00882500"/>
    <w:rsid w:val="0088601A"/>
    <w:rsid w:val="00890533"/>
    <w:rsid w:val="00890998"/>
    <w:rsid w:val="00897BC6"/>
    <w:rsid w:val="008C2E31"/>
    <w:rsid w:val="008E4684"/>
    <w:rsid w:val="008F6198"/>
    <w:rsid w:val="008F7C7E"/>
    <w:rsid w:val="00905422"/>
    <w:rsid w:val="009054B3"/>
    <w:rsid w:val="0092369C"/>
    <w:rsid w:val="00923AA5"/>
    <w:rsid w:val="00943FA8"/>
    <w:rsid w:val="00944A60"/>
    <w:rsid w:val="00947716"/>
    <w:rsid w:val="00947E03"/>
    <w:rsid w:val="009555FC"/>
    <w:rsid w:val="0096100E"/>
    <w:rsid w:val="009631B8"/>
    <w:rsid w:val="00986153"/>
    <w:rsid w:val="00992860"/>
    <w:rsid w:val="00992BDB"/>
    <w:rsid w:val="00993163"/>
    <w:rsid w:val="009933CD"/>
    <w:rsid w:val="00996A9F"/>
    <w:rsid w:val="009A1731"/>
    <w:rsid w:val="009A3F6D"/>
    <w:rsid w:val="009B7AFD"/>
    <w:rsid w:val="009C05A8"/>
    <w:rsid w:val="009C560A"/>
    <w:rsid w:val="009D05E6"/>
    <w:rsid w:val="009D16D9"/>
    <w:rsid w:val="009F0088"/>
    <w:rsid w:val="009F700A"/>
    <w:rsid w:val="00A0156C"/>
    <w:rsid w:val="00A1147B"/>
    <w:rsid w:val="00A116B9"/>
    <w:rsid w:val="00A14213"/>
    <w:rsid w:val="00A2367D"/>
    <w:rsid w:val="00A25B21"/>
    <w:rsid w:val="00A30913"/>
    <w:rsid w:val="00A36918"/>
    <w:rsid w:val="00A4362D"/>
    <w:rsid w:val="00A6162C"/>
    <w:rsid w:val="00A678FB"/>
    <w:rsid w:val="00A67AA5"/>
    <w:rsid w:val="00A8273B"/>
    <w:rsid w:val="00A86507"/>
    <w:rsid w:val="00A90896"/>
    <w:rsid w:val="00A9110C"/>
    <w:rsid w:val="00AA1072"/>
    <w:rsid w:val="00AA563E"/>
    <w:rsid w:val="00AB7D21"/>
    <w:rsid w:val="00AB7E73"/>
    <w:rsid w:val="00AC3394"/>
    <w:rsid w:val="00AD68D8"/>
    <w:rsid w:val="00AE2322"/>
    <w:rsid w:val="00AE3F1F"/>
    <w:rsid w:val="00AE66AF"/>
    <w:rsid w:val="00AF2449"/>
    <w:rsid w:val="00AF260A"/>
    <w:rsid w:val="00B031C1"/>
    <w:rsid w:val="00B03A0D"/>
    <w:rsid w:val="00B045D4"/>
    <w:rsid w:val="00B078AA"/>
    <w:rsid w:val="00B10346"/>
    <w:rsid w:val="00B15920"/>
    <w:rsid w:val="00B1737F"/>
    <w:rsid w:val="00B24159"/>
    <w:rsid w:val="00B246C9"/>
    <w:rsid w:val="00B32769"/>
    <w:rsid w:val="00B335EE"/>
    <w:rsid w:val="00B40771"/>
    <w:rsid w:val="00B42553"/>
    <w:rsid w:val="00B45AE6"/>
    <w:rsid w:val="00B479F5"/>
    <w:rsid w:val="00B615D0"/>
    <w:rsid w:val="00B6712E"/>
    <w:rsid w:val="00B73000"/>
    <w:rsid w:val="00B81CAE"/>
    <w:rsid w:val="00B8459D"/>
    <w:rsid w:val="00B93EF8"/>
    <w:rsid w:val="00BB3B5C"/>
    <w:rsid w:val="00BC1A1D"/>
    <w:rsid w:val="00BC7C25"/>
    <w:rsid w:val="00BD126A"/>
    <w:rsid w:val="00BD3068"/>
    <w:rsid w:val="00BF1B41"/>
    <w:rsid w:val="00C005E2"/>
    <w:rsid w:val="00C04844"/>
    <w:rsid w:val="00C11C9A"/>
    <w:rsid w:val="00C22C5C"/>
    <w:rsid w:val="00C3204C"/>
    <w:rsid w:val="00C4031E"/>
    <w:rsid w:val="00C4115D"/>
    <w:rsid w:val="00C41EDA"/>
    <w:rsid w:val="00C53DAE"/>
    <w:rsid w:val="00C56484"/>
    <w:rsid w:val="00C56E68"/>
    <w:rsid w:val="00C61510"/>
    <w:rsid w:val="00C61BEE"/>
    <w:rsid w:val="00C655FD"/>
    <w:rsid w:val="00C82F57"/>
    <w:rsid w:val="00C87C9F"/>
    <w:rsid w:val="00C904D9"/>
    <w:rsid w:val="00C945CD"/>
    <w:rsid w:val="00CA1942"/>
    <w:rsid w:val="00CA2AAB"/>
    <w:rsid w:val="00CA6ADA"/>
    <w:rsid w:val="00CB68B2"/>
    <w:rsid w:val="00CC186D"/>
    <w:rsid w:val="00CD5D1D"/>
    <w:rsid w:val="00CE2302"/>
    <w:rsid w:val="00CF3036"/>
    <w:rsid w:val="00D04856"/>
    <w:rsid w:val="00D0517C"/>
    <w:rsid w:val="00D10234"/>
    <w:rsid w:val="00D15AFD"/>
    <w:rsid w:val="00D20934"/>
    <w:rsid w:val="00D33006"/>
    <w:rsid w:val="00D43F0D"/>
    <w:rsid w:val="00D45A07"/>
    <w:rsid w:val="00D50A55"/>
    <w:rsid w:val="00D85018"/>
    <w:rsid w:val="00D93117"/>
    <w:rsid w:val="00D95D3F"/>
    <w:rsid w:val="00DA4732"/>
    <w:rsid w:val="00DC0DF1"/>
    <w:rsid w:val="00DC42CF"/>
    <w:rsid w:val="00DD144E"/>
    <w:rsid w:val="00DD1B16"/>
    <w:rsid w:val="00DD3E50"/>
    <w:rsid w:val="00DE1BDB"/>
    <w:rsid w:val="00DE243A"/>
    <w:rsid w:val="00DF1AC2"/>
    <w:rsid w:val="00E00421"/>
    <w:rsid w:val="00E050EF"/>
    <w:rsid w:val="00E12326"/>
    <w:rsid w:val="00E12EBD"/>
    <w:rsid w:val="00E17E02"/>
    <w:rsid w:val="00E33525"/>
    <w:rsid w:val="00E43180"/>
    <w:rsid w:val="00E4526B"/>
    <w:rsid w:val="00E45468"/>
    <w:rsid w:val="00E461DF"/>
    <w:rsid w:val="00E47C42"/>
    <w:rsid w:val="00E62120"/>
    <w:rsid w:val="00E70FE5"/>
    <w:rsid w:val="00E73DE8"/>
    <w:rsid w:val="00E74C50"/>
    <w:rsid w:val="00E8366B"/>
    <w:rsid w:val="00E91D96"/>
    <w:rsid w:val="00EA3C6E"/>
    <w:rsid w:val="00EB08C9"/>
    <w:rsid w:val="00EB7AB9"/>
    <w:rsid w:val="00EC173B"/>
    <w:rsid w:val="00EC35BC"/>
    <w:rsid w:val="00EC4934"/>
    <w:rsid w:val="00EC5962"/>
    <w:rsid w:val="00EE23A6"/>
    <w:rsid w:val="00EE66B8"/>
    <w:rsid w:val="00F02E92"/>
    <w:rsid w:val="00F07A58"/>
    <w:rsid w:val="00F15AC7"/>
    <w:rsid w:val="00F16511"/>
    <w:rsid w:val="00F24373"/>
    <w:rsid w:val="00F3355C"/>
    <w:rsid w:val="00F43474"/>
    <w:rsid w:val="00F52D63"/>
    <w:rsid w:val="00F54464"/>
    <w:rsid w:val="00F54953"/>
    <w:rsid w:val="00F65DF8"/>
    <w:rsid w:val="00F76074"/>
    <w:rsid w:val="00F76586"/>
    <w:rsid w:val="00F918FA"/>
    <w:rsid w:val="00F92D03"/>
    <w:rsid w:val="00FA6B21"/>
    <w:rsid w:val="00FB3542"/>
    <w:rsid w:val="00FC6B4B"/>
    <w:rsid w:val="00FD776B"/>
    <w:rsid w:val="00FE5241"/>
    <w:rsid w:val="00FF6988"/>
    <w:rsid w:val="01C1772E"/>
    <w:rsid w:val="0CFD3FF2"/>
    <w:rsid w:val="16DA3948"/>
    <w:rsid w:val="19226982"/>
    <w:rsid w:val="194833A1"/>
    <w:rsid w:val="1D202F4D"/>
    <w:rsid w:val="1E522AB7"/>
    <w:rsid w:val="1F0F279C"/>
    <w:rsid w:val="214C0572"/>
    <w:rsid w:val="2CEE6361"/>
    <w:rsid w:val="300B7449"/>
    <w:rsid w:val="332625E8"/>
    <w:rsid w:val="36312BF1"/>
    <w:rsid w:val="3AB72744"/>
    <w:rsid w:val="47FB5F01"/>
    <w:rsid w:val="55022C48"/>
    <w:rsid w:val="5E1E6B98"/>
    <w:rsid w:val="5FFB455D"/>
    <w:rsid w:val="6E6B729F"/>
    <w:rsid w:val="7CCD6C20"/>
    <w:rsid w:val="7FD86D92"/>
  </w:rsids>
  <m:mathPr>
    <m:lMargin m:val="0"/>
    <m:mathFont m:val="Cambria Math"/>
    <m:rMargin m:val="0"/>
    <m:wrapIndent m:val="1440"/>
    <m:brkBin m:val="before"/>
    <m:brkBinSub m:val="--"/>
    <m:defJc m:val="centerGroup"/>
    <m:intLim m:val="subSup"/>
    <m:naryLim m:val="undOvr"/>
    <m:smallFrac m:val=""/>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Normal Indent"/>
    <w:lsdException w:unhideWhenUsed="0" w:uiPriority="0" w:semiHidden="0" w:name="footnote text"/>
    <w:lsdException w:qFormat="1" w:uiPriority="99" w:semiHidden="0" w:name="annotation text"/>
    <w:lsdException w:qFormat="1" w:uiPriority="99" w:semiHidden="0" w:name="header"/>
    <w:lsdException w:qFormat="1" w:uiPriority="99" w:semiHidden="0" w:name="footer"/>
    <w:lsdException w:uiPriority="0" w:name="index heading"/>
    <w:lsdException w:qFormat="1" w:uiPriority="35" w:name="caption"/>
    <w:lsdException w:uiPriority="0" w:name="table of figures"/>
    <w:lsdException w:uiPriority="0" w:name="envelope address"/>
    <w:lsdException w:uiPriority="0" w:name="envelope return"/>
    <w:lsdException w:qFormat="1" w:unhideWhenUsed="0" w:uiPriority="0" w:semiHidden="0" w:name="footnote reference"/>
    <w:lsdException w:qFormat="1" w:uiPriority="99"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semiHidden="0"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22" w:semiHidden="0" w:name="Strong"/>
    <w:lsdException w:qFormat="1" w:unhideWhenUsed="0" w:uiPriority="20" w:semiHidden="0" w:name="Emphasis"/>
    <w:lsdException w:uiPriority="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semiHidden="0" w:name="Normal Table"/>
    <w:lsdException w:qFormat="1" w:uiPriority="99"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99" w:semiHidden="0" w:name="Balloon Text"/>
    <w:lsdException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1"/>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23"/>
    <w:unhideWhenUsed/>
    <w:qFormat/>
    <w:uiPriority w:val="9"/>
    <w:pPr>
      <w:keepNext/>
      <w:keepLines/>
      <w:spacing w:before="260" w:after="260" w:line="416" w:lineRule="auto"/>
      <w:outlineLvl w:val="1"/>
    </w:pPr>
    <w:rPr>
      <w:rFonts w:ascii="Cambria" w:hAnsi="Cambria" w:cs="黑体"/>
      <w:b/>
      <w:bCs/>
      <w:sz w:val="32"/>
      <w:szCs w:val="32"/>
    </w:rPr>
  </w:style>
  <w:style w:type="character" w:default="1" w:styleId="12">
    <w:name w:val="Default Paragraph Font"/>
    <w:unhideWhenUsed/>
    <w:qFormat/>
    <w:uiPriority w:val="1"/>
  </w:style>
  <w:style w:type="table" w:default="1" w:styleId="15">
    <w:name w:val="Normal Table"/>
    <w:unhideWhenUsed/>
    <w:qFormat/>
    <w:uiPriority w:val="99"/>
    <w:tblPr>
      <w:tblLayout w:type="fixed"/>
      <w:tblCellMar>
        <w:top w:w="0" w:type="dxa"/>
        <w:left w:w="108" w:type="dxa"/>
        <w:bottom w:w="0" w:type="dxa"/>
        <w:right w:w="108" w:type="dxa"/>
      </w:tblCellMar>
    </w:tblPr>
  </w:style>
  <w:style w:type="paragraph" w:styleId="4">
    <w:name w:val="annotation subject"/>
    <w:basedOn w:val="5"/>
    <w:next w:val="5"/>
    <w:link w:val="28"/>
    <w:unhideWhenUsed/>
    <w:qFormat/>
    <w:uiPriority w:val="99"/>
    <w:rPr>
      <w:b/>
      <w:bCs/>
    </w:rPr>
  </w:style>
  <w:style w:type="paragraph" w:styleId="5">
    <w:name w:val="annotation text"/>
    <w:basedOn w:val="1"/>
    <w:link w:val="27"/>
    <w:unhideWhenUsed/>
    <w:qFormat/>
    <w:uiPriority w:val="99"/>
    <w:pPr>
      <w:jc w:val="left"/>
    </w:pPr>
  </w:style>
  <w:style w:type="paragraph" w:styleId="6">
    <w:name w:val="Body Text"/>
    <w:basedOn w:val="1"/>
    <w:link w:val="24"/>
    <w:qFormat/>
    <w:uiPriority w:val="0"/>
    <w:pPr>
      <w:spacing w:after="120"/>
    </w:pPr>
  </w:style>
  <w:style w:type="paragraph" w:styleId="7">
    <w:name w:val="Balloon Text"/>
    <w:basedOn w:val="1"/>
    <w:link w:val="29"/>
    <w:unhideWhenUsed/>
    <w:qFormat/>
    <w:uiPriority w:val="99"/>
    <w:rPr>
      <w:sz w:val="18"/>
      <w:szCs w:val="18"/>
    </w:rPr>
  </w:style>
  <w:style w:type="paragraph" w:styleId="8">
    <w:name w:val="footer"/>
    <w:basedOn w:val="1"/>
    <w:link w:val="26"/>
    <w:unhideWhenUsed/>
    <w:qFormat/>
    <w:uiPriority w:val="99"/>
    <w:pPr>
      <w:tabs>
        <w:tab w:val="center" w:pos="4153"/>
        <w:tab w:val="right" w:pos="8306"/>
      </w:tabs>
      <w:snapToGrid w:val="0"/>
      <w:jc w:val="left"/>
    </w:pPr>
    <w:rPr>
      <w:sz w:val="18"/>
      <w:szCs w:val="18"/>
    </w:rPr>
  </w:style>
  <w:style w:type="paragraph" w:styleId="9">
    <w:name w:val="header"/>
    <w:basedOn w:val="1"/>
    <w:link w:val="25"/>
    <w:unhideWhenUsed/>
    <w:qFormat/>
    <w:uiPriority w:val="99"/>
    <w:pPr>
      <w:pBdr>
        <w:bottom w:val="single" w:color="auto" w:sz="6" w:space="1"/>
      </w:pBdr>
      <w:tabs>
        <w:tab w:val="center" w:pos="4153"/>
        <w:tab w:val="right" w:pos="8306"/>
      </w:tabs>
      <w:snapToGrid w:val="0"/>
      <w:jc w:val="center"/>
    </w:pPr>
    <w:rPr>
      <w:sz w:val="18"/>
      <w:szCs w:val="18"/>
    </w:rPr>
  </w:style>
  <w:style w:type="paragraph" w:styleId="10">
    <w:name w:val="footnote text"/>
    <w:basedOn w:val="1"/>
    <w:link w:val="22"/>
    <w:uiPriority w:val="0"/>
    <w:pPr>
      <w:snapToGrid w:val="0"/>
      <w:jc w:val="left"/>
    </w:pPr>
    <w:rPr>
      <w:sz w:val="18"/>
      <w:szCs w:val="18"/>
    </w:rPr>
  </w:style>
  <w:style w:type="paragraph" w:styleId="11">
    <w:name w:val="Normal (Web)"/>
    <w:basedOn w:val="1"/>
    <w:unhideWhenUsed/>
    <w:qFormat/>
    <w:uiPriority w:val="99"/>
    <w:pPr>
      <w:widowControl/>
      <w:spacing w:before="100" w:beforeAutospacing="1" w:after="100" w:afterAutospacing="1"/>
      <w:jc w:val="left"/>
    </w:pPr>
    <w:rPr>
      <w:rFonts w:ascii="宋体" w:hAnsi="宋体" w:cs="宋体"/>
      <w:kern w:val="0"/>
      <w:sz w:val="24"/>
    </w:rPr>
  </w:style>
  <w:style w:type="character" w:styleId="13">
    <w:name w:val="annotation reference"/>
    <w:basedOn w:val="12"/>
    <w:unhideWhenUsed/>
    <w:qFormat/>
    <w:uiPriority w:val="99"/>
    <w:rPr>
      <w:sz w:val="21"/>
      <w:szCs w:val="21"/>
    </w:rPr>
  </w:style>
  <w:style w:type="character" w:styleId="14">
    <w:name w:val="footnote reference"/>
    <w:qFormat/>
    <w:uiPriority w:val="0"/>
    <w:rPr>
      <w:vertAlign w:val="superscript"/>
    </w:rPr>
  </w:style>
  <w:style w:type="paragraph" w:customStyle="1" w:styleId="16">
    <w:name w:val="样式 标题 2 + Times New Roman 四号 非加粗 段前: 5 磅 段后: 0 磅 行距: 固定值 20..."/>
    <w:basedOn w:val="3"/>
    <w:qFormat/>
    <w:uiPriority w:val="0"/>
    <w:pPr>
      <w:spacing w:before="100" w:after="0" w:line="400" w:lineRule="exact"/>
    </w:pPr>
    <w:rPr>
      <w:rFonts w:ascii="Times New Roman" w:hAnsi="Times New Roman" w:eastAsia="黑体" w:cs="宋体"/>
      <w:b w:val="0"/>
      <w:bCs w:val="0"/>
      <w:sz w:val="28"/>
      <w:szCs w:val="20"/>
    </w:rPr>
  </w:style>
  <w:style w:type="paragraph" w:customStyle="1" w:styleId="17">
    <w:name w:val="普通 (Web)"/>
    <w:uiPriority w:val="0"/>
    <w:pPr>
      <w:spacing w:before="100" w:after="100"/>
    </w:pPr>
    <w:rPr>
      <w:rFonts w:ascii="宋体" w:hAnsi="Times New Roman" w:eastAsia="宋体" w:cs="Times New Roman"/>
      <w:sz w:val="24"/>
      <w:lang w:val="en-US" w:eastAsia="zh-CN" w:bidi="ar-SA"/>
    </w:rPr>
  </w:style>
  <w:style w:type="paragraph" w:customStyle="1" w:styleId="18">
    <w:name w:val="列出段落1"/>
    <w:qFormat/>
    <w:uiPriority w:val="0"/>
    <w:pPr>
      <w:widowControl w:val="0"/>
      <w:ind w:firstLine="200" w:firstLineChars="200"/>
      <w:jc w:val="both"/>
    </w:pPr>
    <w:rPr>
      <w:rFonts w:ascii="Calibri" w:hAnsi="Calibri" w:eastAsia="宋体" w:cs="Times New Roman"/>
      <w:kern w:val="2"/>
      <w:sz w:val="21"/>
      <w:szCs w:val="22"/>
      <w:lang w:val="en-US" w:eastAsia="zh-CN" w:bidi="ar-SA"/>
    </w:rPr>
  </w:style>
  <w:style w:type="paragraph" w:customStyle="1" w:styleId="19">
    <w:name w:val="样式"/>
    <w:qFormat/>
    <w:uiPriority w:val="0"/>
    <w:pPr>
      <w:widowControl w:val="0"/>
      <w:adjustRightInd w:val="0"/>
      <w:spacing w:line="360" w:lineRule="auto"/>
      <w:ind w:firstLine="482"/>
      <w:jc w:val="both"/>
      <w:textAlignment w:val="baseline"/>
    </w:pPr>
    <w:rPr>
      <w:rFonts w:ascii="Times New Roman" w:hAnsi="Times New Roman" w:eastAsia="宋体" w:cs="Times New Roman"/>
      <w:sz w:val="24"/>
      <w:lang w:val="en-US" w:eastAsia="zh-CN" w:bidi="ar-SA"/>
    </w:rPr>
  </w:style>
  <w:style w:type="paragraph" w:customStyle="1" w:styleId="20">
    <w:name w:val="修订1"/>
    <w:hidden/>
    <w:semiHidden/>
    <w:qFormat/>
    <w:uiPriority w:val="99"/>
    <w:rPr>
      <w:rFonts w:ascii="Times New Roman" w:hAnsi="Times New Roman" w:eastAsia="宋体" w:cs="Times New Roman"/>
      <w:kern w:val="2"/>
      <w:sz w:val="21"/>
      <w:szCs w:val="24"/>
      <w:lang w:val="en-US" w:eastAsia="zh-CN" w:bidi="ar-SA"/>
    </w:rPr>
  </w:style>
  <w:style w:type="character" w:customStyle="1" w:styleId="21">
    <w:name w:val="标题 1 Char"/>
    <w:basedOn w:val="12"/>
    <w:link w:val="2"/>
    <w:qFormat/>
    <w:uiPriority w:val="0"/>
    <w:rPr>
      <w:rFonts w:ascii="Times New Roman" w:hAnsi="Times New Roman" w:eastAsia="宋体" w:cs="Times New Roman"/>
      <w:b/>
      <w:bCs/>
      <w:kern w:val="44"/>
      <w:sz w:val="44"/>
      <w:szCs w:val="44"/>
    </w:rPr>
  </w:style>
  <w:style w:type="character" w:customStyle="1" w:styleId="22">
    <w:name w:val="脚注文本 Char"/>
    <w:basedOn w:val="12"/>
    <w:link w:val="10"/>
    <w:qFormat/>
    <w:uiPriority w:val="0"/>
    <w:rPr>
      <w:rFonts w:ascii="Times New Roman" w:hAnsi="Times New Roman" w:eastAsia="宋体" w:cs="Times New Roman"/>
      <w:sz w:val="18"/>
      <w:szCs w:val="18"/>
    </w:rPr>
  </w:style>
  <w:style w:type="character" w:customStyle="1" w:styleId="23">
    <w:name w:val="标题 2 Char"/>
    <w:basedOn w:val="12"/>
    <w:link w:val="3"/>
    <w:semiHidden/>
    <w:qFormat/>
    <w:uiPriority w:val="9"/>
    <w:rPr>
      <w:rFonts w:ascii="Cambria" w:hAnsi="Cambria" w:eastAsia="宋体" w:cs="黑体"/>
      <w:b/>
      <w:bCs/>
      <w:sz w:val="32"/>
      <w:szCs w:val="32"/>
    </w:rPr>
  </w:style>
  <w:style w:type="character" w:customStyle="1" w:styleId="24">
    <w:name w:val="正文文本 Char"/>
    <w:basedOn w:val="12"/>
    <w:link w:val="6"/>
    <w:qFormat/>
    <w:uiPriority w:val="0"/>
    <w:rPr>
      <w:rFonts w:ascii="Times New Roman" w:hAnsi="Times New Roman" w:eastAsia="宋体" w:cs="Times New Roman"/>
      <w:szCs w:val="24"/>
    </w:rPr>
  </w:style>
  <w:style w:type="character" w:customStyle="1" w:styleId="25">
    <w:name w:val="页眉 Char"/>
    <w:basedOn w:val="12"/>
    <w:link w:val="9"/>
    <w:qFormat/>
    <w:uiPriority w:val="99"/>
    <w:rPr>
      <w:rFonts w:ascii="Times New Roman" w:hAnsi="Times New Roman" w:eastAsia="宋体" w:cs="Times New Roman"/>
      <w:sz w:val="18"/>
      <w:szCs w:val="18"/>
    </w:rPr>
  </w:style>
  <w:style w:type="character" w:customStyle="1" w:styleId="26">
    <w:name w:val="页脚 Char"/>
    <w:basedOn w:val="12"/>
    <w:link w:val="8"/>
    <w:qFormat/>
    <w:uiPriority w:val="99"/>
    <w:rPr>
      <w:rFonts w:ascii="Times New Roman" w:hAnsi="Times New Roman" w:eastAsia="宋体" w:cs="Times New Roman"/>
      <w:sz w:val="18"/>
      <w:szCs w:val="18"/>
    </w:rPr>
  </w:style>
  <w:style w:type="character" w:customStyle="1" w:styleId="27">
    <w:name w:val="批注文字 Char"/>
    <w:basedOn w:val="12"/>
    <w:link w:val="5"/>
    <w:semiHidden/>
    <w:qFormat/>
    <w:uiPriority w:val="99"/>
    <w:rPr>
      <w:rFonts w:ascii="Times New Roman" w:hAnsi="Times New Roman" w:eastAsia="宋体" w:cs="Times New Roman"/>
      <w:szCs w:val="24"/>
    </w:rPr>
  </w:style>
  <w:style w:type="character" w:customStyle="1" w:styleId="28">
    <w:name w:val="批注主题 Char"/>
    <w:basedOn w:val="27"/>
    <w:link w:val="4"/>
    <w:semiHidden/>
    <w:qFormat/>
    <w:uiPriority w:val="99"/>
    <w:rPr>
      <w:rFonts w:ascii="Times New Roman" w:hAnsi="Times New Roman" w:eastAsia="宋体" w:cs="Times New Roman"/>
      <w:b/>
      <w:bCs/>
      <w:szCs w:val="24"/>
    </w:rPr>
  </w:style>
  <w:style w:type="character" w:customStyle="1" w:styleId="29">
    <w:name w:val="批注框文本 Char"/>
    <w:basedOn w:val="12"/>
    <w:link w:val="7"/>
    <w:semiHidden/>
    <w:qFormat/>
    <w:uiPriority w:val="99"/>
    <w:rPr>
      <w:rFonts w:ascii="Times New Roman" w:hAnsi="Times New Roman" w:eastAsia="宋体" w:cs="Times New Roman"/>
      <w:sz w:val="18"/>
      <w:szCs w:val="18"/>
    </w:rPr>
  </w:style>
  <w:style w:type="paragraph" w:customStyle="1" w:styleId="30">
    <w:name w:val="List Paragraph"/>
    <w:basedOn w:val="1"/>
    <w:qFormat/>
    <w:uiPriority w:val="34"/>
    <w:pPr>
      <w:widowControl/>
      <w:ind w:firstLine="420" w:firstLineChars="200"/>
      <w:jc w:val="left"/>
    </w:pPr>
    <w:rPr>
      <w:rFonts w:ascii="宋体" w:hAnsi="宋体" w:cs="宋体"/>
      <w:kern w:val="0"/>
      <w:sz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306</Words>
  <Characters>1746</Characters>
  <Lines>14</Lines>
  <Paragraphs>4</Paragraphs>
  <ScaleCrop>false</ScaleCrop>
  <LinksUpToDate>false</LinksUpToDate>
  <CharactersWithSpaces>2048</CharactersWithSpaces>
  <Application>WPS Office_10.8.0.5874_F1E327BC-269C-435d-A152-05C5408002CA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2016-08-23T08:26:00Z</dcterms:created>
  <dc:creator>qzy3472</dc:creator>
  <cp:lastModifiedBy>yhn</cp:lastModifiedBy>
  <dcterms:modified xsi:type="dcterms:W3CDTF">2017-04-20T08:30:24Z</dcterms:modified>
  <dc:title>配件技术要求</dc:title>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2052-10.8.0.5874</vt:lpwstr>
  </property>
</Properties>
</file>